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9F911E" w14:textId="46DD54E6" w:rsidR="00C768AA" w:rsidRPr="00A041D2" w:rsidRDefault="00C768AA" w:rsidP="00C768AA">
      <w:pPr>
        <w:spacing w:line="360" w:lineRule="auto"/>
        <w:jc w:val="both"/>
        <w:rPr>
          <w:rFonts w:ascii="Century Gothic" w:hAnsi="Century Gothic"/>
          <w:color w:val="000000" w:themeColor="text1"/>
          <w:lang w:val="es-ES"/>
        </w:rPr>
      </w:pPr>
      <w:r w:rsidRPr="00A041D2">
        <w:rPr>
          <w:rFonts w:ascii="Century Gothic" w:hAnsi="Century Gothic"/>
          <w:color w:val="000000" w:themeColor="text1"/>
          <w:lang w:val="es-ES"/>
        </w:rPr>
        <w:t xml:space="preserve">Bogotá, </w:t>
      </w:r>
      <w:r w:rsidR="001C14A9" w:rsidRPr="00A041D2">
        <w:rPr>
          <w:rFonts w:ascii="Century Gothic" w:hAnsi="Century Gothic"/>
          <w:color w:val="000000" w:themeColor="text1"/>
          <w:lang w:val="es-ES"/>
        </w:rPr>
        <w:t>19 de octubre</w:t>
      </w:r>
      <w:r w:rsidRPr="00A041D2">
        <w:rPr>
          <w:rFonts w:ascii="Century Gothic" w:hAnsi="Century Gothic"/>
          <w:color w:val="000000" w:themeColor="text1"/>
          <w:lang w:val="es-ES"/>
        </w:rPr>
        <w:t xml:space="preserve"> de 2020</w:t>
      </w:r>
    </w:p>
    <w:p w14:paraId="478EFEFE" w14:textId="77777777" w:rsidR="00C768AA" w:rsidRPr="00A041D2" w:rsidRDefault="00C768AA" w:rsidP="00C768AA">
      <w:pPr>
        <w:spacing w:line="360" w:lineRule="auto"/>
        <w:jc w:val="both"/>
        <w:rPr>
          <w:rFonts w:ascii="Century Gothic" w:eastAsia="Times New Roman" w:hAnsi="Century Gothic" w:cs="Arial"/>
          <w:caps/>
          <w:color w:val="000000" w:themeColor="text1"/>
          <w:lang w:val="es-ES" w:eastAsia="es-ES"/>
        </w:rPr>
      </w:pPr>
      <w:r w:rsidRPr="00A041D2">
        <w:rPr>
          <w:rFonts w:ascii="Century Gothic" w:eastAsia="Times New Roman" w:hAnsi="Century Gothic" w:cs="Arial"/>
          <w:color w:val="000000" w:themeColor="text1"/>
          <w:lang w:val="es-ES" w:eastAsia="es-ES"/>
        </w:rPr>
        <w:t>Presidente</w:t>
      </w:r>
    </w:p>
    <w:p w14:paraId="53D940F8" w14:textId="77777777" w:rsidR="00C768AA" w:rsidRPr="00A041D2" w:rsidRDefault="00C768AA" w:rsidP="00C768AA">
      <w:pPr>
        <w:spacing w:line="360" w:lineRule="auto"/>
        <w:jc w:val="both"/>
        <w:rPr>
          <w:rFonts w:ascii="Century Gothic" w:eastAsia="Times New Roman" w:hAnsi="Century Gothic" w:cs="Arial"/>
          <w:b/>
          <w:caps/>
          <w:color w:val="000000" w:themeColor="text1"/>
          <w:lang w:val="es-ES" w:eastAsia="es-ES"/>
        </w:rPr>
      </w:pPr>
      <w:r w:rsidRPr="00A041D2">
        <w:rPr>
          <w:rFonts w:ascii="Century Gothic" w:eastAsia="Times New Roman" w:hAnsi="Century Gothic" w:cs="Arial"/>
          <w:b/>
          <w:caps/>
          <w:color w:val="000000" w:themeColor="text1"/>
          <w:lang w:val="es-ES" w:eastAsia="es-ES"/>
        </w:rPr>
        <w:t xml:space="preserve">Nestor leonardo rico </w:t>
      </w:r>
      <w:proofErr w:type="spellStart"/>
      <w:r w:rsidRPr="00A041D2">
        <w:rPr>
          <w:rFonts w:ascii="Century Gothic" w:eastAsia="Times New Roman" w:hAnsi="Century Gothic" w:cs="Arial"/>
          <w:b/>
          <w:caps/>
          <w:color w:val="000000" w:themeColor="text1"/>
          <w:lang w:val="es-ES" w:eastAsia="es-ES"/>
        </w:rPr>
        <w:t>rico</w:t>
      </w:r>
      <w:proofErr w:type="spellEnd"/>
    </w:p>
    <w:p w14:paraId="509E5D1C" w14:textId="77777777" w:rsidR="00C768AA" w:rsidRPr="00A041D2" w:rsidRDefault="00C768AA" w:rsidP="00C768AA">
      <w:pPr>
        <w:spacing w:line="360" w:lineRule="auto"/>
        <w:jc w:val="both"/>
        <w:rPr>
          <w:rFonts w:ascii="Century Gothic" w:eastAsia="Times New Roman" w:hAnsi="Century Gothic" w:cs="Arial"/>
          <w:caps/>
          <w:color w:val="000000" w:themeColor="text1"/>
          <w:lang w:val="es-ES" w:eastAsia="es-ES"/>
        </w:rPr>
      </w:pPr>
      <w:r w:rsidRPr="00A041D2">
        <w:rPr>
          <w:rFonts w:ascii="Century Gothic" w:eastAsia="Times New Roman" w:hAnsi="Century Gothic" w:cs="Arial"/>
          <w:color w:val="000000" w:themeColor="text1"/>
          <w:lang w:val="es-ES" w:eastAsia="es-ES"/>
        </w:rPr>
        <w:t>Comisión Tercera Constitucional</w:t>
      </w:r>
    </w:p>
    <w:p w14:paraId="6666CE0A" w14:textId="77777777" w:rsidR="00C768AA" w:rsidRPr="00A041D2" w:rsidRDefault="00C768AA" w:rsidP="00C768AA">
      <w:pPr>
        <w:spacing w:line="360" w:lineRule="auto"/>
        <w:jc w:val="both"/>
        <w:rPr>
          <w:rFonts w:ascii="Century Gothic" w:eastAsia="Times New Roman" w:hAnsi="Century Gothic" w:cs="Arial"/>
          <w:caps/>
          <w:color w:val="000000" w:themeColor="text1"/>
          <w:lang w:val="es-ES" w:eastAsia="es-ES"/>
        </w:rPr>
      </w:pPr>
      <w:r w:rsidRPr="00A041D2">
        <w:rPr>
          <w:rFonts w:ascii="Century Gothic" w:eastAsia="Times New Roman" w:hAnsi="Century Gothic" w:cs="Arial"/>
          <w:color w:val="000000" w:themeColor="text1"/>
          <w:lang w:val="es-ES" w:eastAsia="es-ES"/>
        </w:rPr>
        <w:t xml:space="preserve">Honorable Cámara De Representantes </w:t>
      </w:r>
    </w:p>
    <w:p w14:paraId="147D8B67" w14:textId="183E247C" w:rsidR="00C768AA" w:rsidRPr="00A041D2" w:rsidRDefault="00C768AA" w:rsidP="00C768AA">
      <w:pPr>
        <w:spacing w:line="360" w:lineRule="auto"/>
        <w:jc w:val="both"/>
        <w:rPr>
          <w:rFonts w:ascii="Century Gothic" w:eastAsia="Times New Roman" w:hAnsi="Century Gothic" w:cs="Arial"/>
          <w:caps/>
          <w:color w:val="000000" w:themeColor="text1"/>
          <w:lang w:val="es-ES" w:eastAsia="es-ES"/>
        </w:rPr>
      </w:pPr>
      <w:r w:rsidRPr="00A041D2">
        <w:rPr>
          <w:rFonts w:ascii="Century Gothic" w:eastAsia="Times New Roman" w:hAnsi="Century Gothic" w:cs="Arial"/>
          <w:color w:val="000000" w:themeColor="text1"/>
          <w:lang w:val="es-ES" w:eastAsia="es-ES"/>
        </w:rPr>
        <w:t>Ciudad</w:t>
      </w:r>
    </w:p>
    <w:p w14:paraId="1B6E2DD5" w14:textId="5969AE61" w:rsidR="00C768AA" w:rsidRPr="00A041D2" w:rsidRDefault="00C768AA" w:rsidP="00C768AA">
      <w:pPr>
        <w:spacing w:before="100" w:beforeAutospacing="1" w:after="100" w:afterAutospacing="1"/>
        <w:jc w:val="both"/>
        <w:rPr>
          <w:rFonts w:ascii="Century Gothic" w:hAnsi="Century Gothic" w:cs="Arial"/>
          <w:bCs/>
          <w:lang w:val="es-ES"/>
        </w:rPr>
      </w:pPr>
      <w:r w:rsidRPr="00A041D2">
        <w:rPr>
          <w:rFonts w:ascii="Century Gothic" w:eastAsia="Times New Roman" w:hAnsi="Century Gothic" w:cs="Arial"/>
          <w:b/>
          <w:color w:val="000000" w:themeColor="text1"/>
          <w:lang w:val="es-ES" w:eastAsia="es-ES"/>
        </w:rPr>
        <w:t>REF:</w:t>
      </w:r>
      <w:r w:rsidRPr="00A041D2">
        <w:rPr>
          <w:rFonts w:ascii="Century Gothic" w:eastAsia="Times New Roman" w:hAnsi="Century Gothic" w:cs="Arial"/>
          <w:color w:val="000000" w:themeColor="text1"/>
          <w:lang w:val="es-ES" w:eastAsia="es-ES"/>
        </w:rPr>
        <w:t xml:space="preserve"> Informe de ponencia para </w:t>
      </w:r>
      <w:r w:rsidR="00651ACA">
        <w:rPr>
          <w:rFonts w:ascii="Century Gothic" w:eastAsia="Times New Roman" w:hAnsi="Century Gothic" w:cs="Arial"/>
          <w:color w:val="000000" w:themeColor="text1"/>
          <w:lang w:val="es-ES" w:eastAsia="es-ES"/>
        </w:rPr>
        <w:t xml:space="preserve">segundo </w:t>
      </w:r>
      <w:r w:rsidRPr="00A041D2">
        <w:rPr>
          <w:rFonts w:ascii="Century Gothic" w:eastAsia="Times New Roman" w:hAnsi="Century Gothic" w:cs="Arial"/>
          <w:color w:val="000000" w:themeColor="text1"/>
          <w:lang w:val="es-ES" w:eastAsia="es-ES"/>
        </w:rPr>
        <w:t xml:space="preserve">debate </w:t>
      </w:r>
      <w:r w:rsidRPr="00A041D2">
        <w:rPr>
          <w:rFonts w:ascii="Century Gothic" w:hAnsi="Century Gothic"/>
          <w:iCs/>
          <w:lang w:val="es-ES"/>
        </w:rPr>
        <w:t xml:space="preserve">al proyecto de ley </w:t>
      </w:r>
      <w:r w:rsidRPr="00A041D2">
        <w:rPr>
          <w:rFonts w:ascii="Century Gothic" w:hAnsi="Century Gothic" w:cs="Arial"/>
          <w:bCs/>
          <w:lang w:val="es-ES"/>
        </w:rPr>
        <w:t>285 De 2020 Cámara, “Por la cual se amplían las autorizaciones conferidas al gobierno nacional para celebrar operaciones de crédito público externo e interno y operaciones asimiladas a las anteriores, así como para garantizar obligaciones de pago de otras entidades, y se dictan otras disposiciones".</w:t>
      </w:r>
    </w:p>
    <w:p w14:paraId="10F5772D" w14:textId="230A654B" w:rsidR="00C768AA" w:rsidRPr="00A041D2" w:rsidRDefault="00C768AA" w:rsidP="00C768AA">
      <w:pPr>
        <w:spacing w:line="360" w:lineRule="auto"/>
        <w:jc w:val="both"/>
        <w:rPr>
          <w:rFonts w:ascii="Century Gothic" w:eastAsia="Times New Roman" w:hAnsi="Century Gothic" w:cs="Arial"/>
          <w:color w:val="000000" w:themeColor="text1"/>
          <w:lang w:val="es-ES" w:eastAsia="es-ES"/>
        </w:rPr>
      </w:pPr>
      <w:r w:rsidRPr="00A041D2">
        <w:rPr>
          <w:rFonts w:ascii="Century Gothic" w:eastAsia="Times New Roman" w:hAnsi="Century Gothic" w:cs="Arial"/>
          <w:color w:val="000000" w:themeColor="text1"/>
          <w:lang w:val="es-ES" w:eastAsia="es-ES"/>
        </w:rPr>
        <w:t>Respetado Presidente,</w:t>
      </w:r>
    </w:p>
    <w:p w14:paraId="680F4112" w14:textId="058691C6" w:rsidR="00C768AA" w:rsidRPr="00A041D2" w:rsidRDefault="00C768AA" w:rsidP="00C768AA">
      <w:pPr>
        <w:spacing w:line="360" w:lineRule="auto"/>
        <w:jc w:val="both"/>
        <w:rPr>
          <w:rFonts w:ascii="Century Gothic" w:hAnsi="Century Gothic"/>
          <w:i/>
          <w:iCs/>
          <w:lang w:val="es-ES"/>
        </w:rPr>
      </w:pPr>
      <w:r w:rsidRPr="00A041D2">
        <w:rPr>
          <w:rFonts w:ascii="Century Gothic" w:eastAsia="Times New Roman" w:hAnsi="Century Gothic" w:cs="Arial"/>
          <w:color w:val="000000" w:themeColor="text1"/>
          <w:lang w:val="es-ES" w:eastAsia="es-ES"/>
        </w:rPr>
        <w:t xml:space="preserve">En cumplimiento a la honrosa designación que me hizo la mesa directiva de la Comisión Tercera de la Cámara de Representantes, procedo a presentar el correspondiente informe de ponencia </w:t>
      </w:r>
      <w:r w:rsidR="0071649F">
        <w:rPr>
          <w:rFonts w:ascii="Century Gothic" w:eastAsia="Times New Roman" w:hAnsi="Century Gothic" w:cs="Arial"/>
          <w:color w:val="000000" w:themeColor="text1"/>
          <w:lang w:val="es-ES" w:eastAsia="es-ES"/>
        </w:rPr>
        <w:t>para segundo</w:t>
      </w:r>
      <w:r w:rsidRPr="00A041D2">
        <w:rPr>
          <w:rFonts w:ascii="Century Gothic" w:eastAsia="Times New Roman" w:hAnsi="Century Gothic" w:cs="Arial"/>
          <w:color w:val="000000" w:themeColor="text1"/>
          <w:lang w:val="es-ES" w:eastAsia="es-ES"/>
        </w:rPr>
        <w:t xml:space="preserve"> debate al Proyecto de </w:t>
      </w:r>
      <w:r w:rsidRPr="00A041D2">
        <w:rPr>
          <w:rFonts w:ascii="Century Gothic" w:hAnsi="Century Gothic"/>
          <w:iCs/>
          <w:lang w:val="es-ES"/>
        </w:rPr>
        <w:t xml:space="preserve">ley </w:t>
      </w:r>
      <w:r w:rsidRPr="00A041D2">
        <w:rPr>
          <w:rFonts w:ascii="Century Gothic" w:hAnsi="Century Gothic" w:cs="Arial"/>
          <w:bCs/>
          <w:lang w:val="es-ES"/>
        </w:rPr>
        <w:t>285 De 2020 Cámara, “Por la cual se amplían las autorizaciones conferidas al gobierno nacional para celebrar operaciones de crédito público externo e interno y operaciones asimiladas a las anteriores, así como para garantizar obligaciones de pago de otras entidades, y se dictan otras disposiciones".</w:t>
      </w:r>
      <w:r w:rsidRPr="00A041D2">
        <w:rPr>
          <w:rFonts w:ascii="Century Gothic" w:hAnsi="Century Gothic"/>
          <w:i/>
          <w:iCs/>
          <w:lang w:val="es-ES"/>
        </w:rPr>
        <w:t>”</w:t>
      </w:r>
    </w:p>
    <w:p w14:paraId="29BCC81D" w14:textId="77777777" w:rsidR="00C768AA" w:rsidRPr="00A041D2" w:rsidRDefault="00C768AA" w:rsidP="00C768AA">
      <w:pPr>
        <w:spacing w:line="360" w:lineRule="auto"/>
        <w:jc w:val="both"/>
        <w:rPr>
          <w:rFonts w:ascii="Century Gothic" w:eastAsia="Times New Roman" w:hAnsi="Century Gothic" w:cs="Arial"/>
          <w:color w:val="000000" w:themeColor="text1"/>
          <w:lang w:val="es-ES" w:eastAsia="es-ES"/>
        </w:rPr>
      </w:pPr>
      <w:r w:rsidRPr="00A041D2">
        <w:rPr>
          <w:rFonts w:ascii="Century Gothic" w:eastAsia="Times New Roman" w:hAnsi="Century Gothic" w:cs="Arial"/>
          <w:color w:val="000000" w:themeColor="text1"/>
          <w:lang w:val="es-ES" w:eastAsia="es-ES"/>
        </w:rPr>
        <w:t>Atentamente,</w:t>
      </w:r>
    </w:p>
    <w:p w14:paraId="4A55D6ED" w14:textId="77777777" w:rsidR="00C768AA" w:rsidRPr="00A041D2" w:rsidRDefault="00C768AA" w:rsidP="00C768AA">
      <w:pPr>
        <w:spacing w:line="360" w:lineRule="auto"/>
        <w:jc w:val="center"/>
        <w:rPr>
          <w:rFonts w:ascii="Century Gothic" w:eastAsia="Times New Roman" w:hAnsi="Century Gothic" w:cs="Arial"/>
          <w:color w:val="000000" w:themeColor="text1"/>
          <w:lang w:val="es-ES" w:eastAsia="es-ES"/>
        </w:rPr>
      </w:pPr>
      <w:r w:rsidRPr="00A041D2">
        <w:rPr>
          <w:rFonts w:ascii="Century Gothic" w:eastAsia="Times New Roman" w:hAnsi="Century Gothic" w:cs="Arial"/>
          <w:noProof/>
          <w:color w:val="000000" w:themeColor="text1"/>
          <w:lang w:val="es-ES"/>
        </w:rPr>
        <w:drawing>
          <wp:inline distT="0" distB="0" distL="0" distR="0" wp14:anchorId="126EDB48" wp14:editId="41DF1626">
            <wp:extent cx="1622486" cy="90614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rma David Racer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62360" cy="928415"/>
                    </a:xfrm>
                    <a:prstGeom prst="rect">
                      <a:avLst/>
                    </a:prstGeom>
                  </pic:spPr>
                </pic:pic>
              </a:graphicData>
            </a:graphic>
          </wp:inline>
        </w:drawing>
      </w:r>
    </w:p>
    <w:p w14:paraId="5A232C7F" w14:textId="77777777" w:rsidR="00C768AA" w:rsidRPr="00A041D2" w:rsidRDefault="00C768AA" w:rsidP="00C768AA">
      <w:pPr>
        <w:spacing w:line="360" w:lineRule="auto"/>
        <w:jc w:val="center"/>
        <w:rPr>
          <w:rFonts w:ascii="Century Gothic" w:eastAsia="Times New Roman" w:hAnsi="Century Gothic" w:cs="Arial"/>
          <w:b/>
          <w:color w:val="000000" w:themeColor="text1"/>
          <w:lang w:val="es-ES" w:eastAsia="es-ES"/>
        </w:rPr>
      </w:pPr>
      <w:r w:rsidRPr="00A041D2">
        <w:rPr>
          <w:rFonts w:ascii="Century Gothic" w:eastAsia="Times New Roman" w:hAnsi="Century Gothic" w:cs="Arial"/>
          <w:b/>
          <w:color w:val="000000" w:themeColor="text1"/>
          <w:lang w:val="es-ES" w:eastAsia="es-ES"/>
        </w:rPr>
        <w:t xml:space="preserve">David Racero </w:t>
      </w:r>
      <w:proofErr w:type="spellStart"/>
      <w:r w:rsidRPr="00A041D2">
        <w:rPr>
          <w:rFonts w:ascii="Century Gothic" w:eastAsia="Times New Roman" w:hAnsi="Century Gothic" w:cs="Arial"/>
          <w:b/>
          <w:color w:val="000000" w:themeColor="text1"/>
          <w:lang w:val="es-ES" w:eastAsia="es-ES"/>
        </w:rPr>
        <w:t>Mayorca</w:t>
      </w:r>
      <w:proofErr w:type="spellEnd"/>
    </w:p>
    <w:p w14:paraId="5A29289C" w14:textId="4BAC5DAF" w:rsidR="00D638EE" w:rsidRPr="00A041D2" w:rsidRDefault="00D638EE" w:rsidP="00C768AA">
      <w:pPr>
        <w:jc w:val="center"/>
        <w:rPr>
          <w:rFonts w:ascii="Century Gothic" w:eastAsia="Arial" w:hAnsi="Century Gothic" w:cs="Arial"/>
          <w:color w:val="000000"/>
          <w:lang w:val="es-ES"/>
        </w:rPr>
      </w:pPr>
    </w:p>
    <w:p w14:paraId="4638116F" w14:textId="22108AE8" w:rsidR="00D638EE" w:rsidRPr="00A041D2" w:rsidRDefault="00C768AA" w:rsidP="00D638EE">
      <w:pPr>
        <w:suppressAutoHyphens/>
        <w:jc w:val="both"/>
        <w:textAlignment w:val="center"/>
        <w:rPr>
          <w:rFonts w:ascii="Century Gothic" w:eastAsia="Times New Roman" w:hAnsi="Century Gothic" w:cstheme="minorHAnsi"/>
          <w:b/>
          <w:kern w:val="32"/>
          <w:lang w:val="es-ES" w:eastAsia="es-CO"/>
        </w:rPr>
      </w:pPr>
      <w:r w:rsidRPr="00A041D2">
        <w:rPr>
          <w:rFonts w:ascii="Century Gothic" w:eastAsia="Times New Roman" w:hAnsi="Century Gothic" w:cstheme="minorHAnsi"/>
          <w:b/>
          <w:kern w:val="32"/>
          <w:lang w:val="es-ES" w:eastAsia="es-CO"/>
        </w:rPr>
        <w:lastRenderedPageBreak/>
        <w:t>Argumentos de la ponencia negativa</w:t>
      </w:r>
    </w:p>
    <w:p w14:paraId="6FADAAFD" w14:textId="77777777" w:rsidR="00C768AA" w:rsidRPr="00A041D2" w:rsidRDefault="00C768AA" w:rsidP="00D638EE">
      <w:pPr>
        <w:suppressAutoHyphens/>
        <w:jc w:val="both"/>
        <w:textAlignment w:val="center"/>
        <w:rPr>
          <w:rFonts w:ascii="Century Gothic" w:eastAsia="Times New Roman" w:hAnsi="Century Gothic" w:cstheme="minorHAnsi"/>
          <w:b/>
          <w:kern w:val="32"/>
          <w:lang w:val="es-ES" w:eastAsia="es-CO"/>
        </w:rPr>
      </w:pPr>
    </w:p>
    <w:p w14:paraId="5B92297F" w14:textId="003B9C95" w:rsidR="00D71296" w:rsidRPr="00A041D2" w:rsidRDefault="00AB6485" w:rsidP="00AB6485">
      <w:pPr>
        <w:suppressAutoHyphens/>
        <w:jc w:val="both"/>
        <w:textAlignment w:val="center"/>
        <w:rPr>
          <w:rFonts w:ascii="Century Gothic" w:eastAsia="Times New Roman" w:hAnsi="Century Gothic" w:cstheme="minorHAnsi"/>
          <w:kern w:val="32"/>
          <w:lang w:val="es-ES" w:eastAsia="es-CO"/>
        </w:rPr>
      </w:pPr>
      <w:r w:rsidRPr="00A041D2">
        <w:rPr>
          <w:rFonts w:ascii="Century Gothic" w:eastAsia="Times New Roman" w:hAnsi="Century Gothic" w:cstheme="minorHAnsi"/>
          <w:kern w:val="32"/>
          <w:lang w:val="es-ES" w:eastAsia="es-CO"/>
        </w:rPr>
        <w:t>Este</w:t>
      </w:r>
      <w:r w:rsidR="00725308" w:rsidRPr="00A041D2">
        <w:rPr>
          <w:rFonts w:ascii="Century Gothic" w:eastAsia="Times New Roman" w:hAnsi="Century Gothic" w:cstheme="minorHAnsi"/>
          <w:kern w:val="32"/>
          <w:lang w:val="es-ES" w:eastAsia="es-CO"/>
        </w:rPr>
        <w:t xml:space="preserve"> proyecto </w:t>
      </w:r>
      <w:r w:rsidRPr="00A041D2">
        <w:rPr>
          <w:rFonts w:ascii="Century Gothic" w:eastAsia="Times New Roman" w:hAnsi="Century Gothic" w:cstheme="minorHAnsi"/>
          <w:kern w:val="32"/>
          <w:lang w:val="es-ES" w:eastAsia="es-CO"/>
        </w:rPr>
        <w:t xml:space="preserve">de ley </w:t>
      </w:r>
      <w:r w:rsidR="00725308" w:rsidRPr="00A041D2">
        <w:rPr>
          <w:rFonts w:ascii="Century Gothic" w:eastAsia="Times New Roman" w:hAnsi="Century Gothic" w:cstheme="minorHAnsi"/>
          <w:kern w:val="32"/>
          <w:lang w:val="es-ES" w:eastAsia="es-CO"/>
        </w:rPr>
        <w:t xml:space="preserve">busca ampliar el cupo de endeudamiento del Gobierno </w:t>
      </w:r>
      <w:r w:rsidRPr="00A041D2">
        <w:rPr>
          <w:rFonts w:ascii="Century Gothic" w:eastAsia="Times New Roman" w:hAnsi="Century Gothic" w:cstheme="minorHAnsi"/>
          <w:kern w:val="32"/>
          <w:lang w:val="es-ES" w:eastAsia="es-CO"/>
        </w:rPr>
        <w:t>Nacional en $</w:t>
      </w:r>
      <w:r w:rsidR="00725308" w:rsidRPr="00A041D2">
        <w:rPr>
          <w:rFonts w:ascii="Century Gothic" w:eastAsia="Times New Roman" w:hAnsi="Century Gothic" w:cstheme="minorHAnsi"/>
          <w:kern w:val="32"/>
          <w:lang w:val="es-ES" w:eastAsia="es-CO"/>
        </w:rPr>
        <w:t>14</w:t>
      </w:r>
      <w:r w:rsidRPr="00A041D2">
        <w:rPr>
          <w:rFonts w:ascii="Century Gothic" w:eastAsia="Times New Roman" w:hAnsi="Century Gothic" w:cstheme="minorHAnsi"/>
          <w:kern w:val="32"/>
          <w:lang w:val="es-ES" w:eastAsia="es-CO"/>
        </w:rPr>
        <w:t>.000</w:t>
      </w:r>
      <w:r w:rsidR="00725308" w:rsidRPr="00A041D2">
        <w:rPr>
          <w:rFonts w:ascii="Century Gothic" w:eastAsia="Times New Roman" w:hAnsi="Century Gothic" w:cstheme="minorHAnsi"/>
          <w:kern w:val="32"/>
          <w:lang w:val="es-ES" w:eastAsia="es-CO"/>
        </w:rPr>
        <w:t xml:space="preserve"> millones de dólares</w:t>
      </w:r>
      <w:r w:rsidRPr="00A041D2">
        <w:rPr>
          <w:rFonts w:ascii="Century Gothic" w:eastAsia="Times New Roman" w:hAnsi="Century Gothic" w:cstheme="minorHAnsi"/>
          <w:kern w:val="32"/>
          <w:lang w:val="es-ES" w:eastAsia="es-CO"/>
        </w:rPr>
        <w:t xml:space="preserve"> o su equivalente en otras monedas ($</w:t>
      </w:r>
      <w:r w:rsidR="009E24B1" w:rsidRPr="00A041D2">
        <w:rPr>
          <w:rFonts w:ascii="Century Gothic" w:eastAsia="Times New Roman" w:hAnsi="Century Gothic" w:cstheme="minorHAnsi"/>
          <w:kern w:val="32"/>
          <w:lang w:val="es-ES" w:eastAsia="es-CO"/>
        </w:rPr>
        <w:t>51 billones de pesos</w:t>
      </w:r>
      <w:r w:rsidRPr="00A041D2">
        <w:rPr>
          <w:rFonts w:ascii="Century Gothic" w:eastAsia="Times New Roman" w:hAnsi="Century Gothic" w:cstheme="minorHAnsi"/>
          <w:kern w:val="32"/>
          <w:lang w:val="es-ES" w:eastAsia="es-CO"/>
        </w:rPr>
        <w:t xml:space="preserve">). A su vez se </w:t>
      </w:r>
      <w:r w:rsidR="00654A22" w:rsidRPr="00A041D2">
        <w:rPr>
          <w:rFonts w:ascii="Century Gothic" w:eastAsia="Times New Roman" w:hAnsi="Century Gothic" w:cstheme="minorHAnsi"/>
          <w:kern w:val="32"/>
          <w:lang w:val="es-ES" w:eastAsia="es-CO"/>
        </w:rPr>
        <w:t>quiere</w:t>
      </w:r>
      <w:r w:rsidRPr="00A041D2">
        <w:rPr>
          <w:rFonts w:ascii="Century Gothic" w:eastAsia="Times New Roman" w:hAnsi="Century Gothic" w:cstheme="minorHAnsi"/>
          <w:kern w:val="32"/>
          <w:lang w:val="es-ES" w:eastAsia="es-CO"/>
        </w:rPr>
        <w:t xml:space="preserve"> que el cupo de garantías del Gobierno Nacional ascienda a $</w:t>
      </w:r>
      <w:r w:rsidR="00A95EC8" w:rsidRPr="00A041D2">
        <w:rPr>
          <w:rFonts w:ascii="Century Gothic" w:eastAsia="Times New Roman" w:hAnsi="Century Gothic" w:cstheme="minorHAnsi"/>
          <w:kern w:val="32"/>
          <w:lang w:val="es-ES" w:eastAsia="es-CO"/>
        </w:rPr>
        <w:t>3</w:t>
      </w:r>
      <w:r w:rsidRPr="00A041D2">
        <w:rPr>
          <w:rFonts w:ascii="Century Gothic" w:eastAsia="Times New Roman" w:hAnsi="Century Gothic" w:cstheme="minorHAnsi"/>
          <w:kern w:val="32"/>
          <w:lang w:val="es-ES" w:eastAsia="es-CO"/>
        </w:rPr>
        <w:t>.000</w:t>
      </w:r>
      <w:r w:rsidR="00A95EC8" w:rsidRPr="00A041D2">
        <w:rPr>
          <w:rFonts w:ascii="Century Gothic" w:eastAsia="Times New Roman" w:hAnsi="Century Gothic" w:cstheme="minorHAnsi"/>
          <w:kern w:val="32"/>
          <w:lang w:val="es-ES" w:eastAsia="es-CO"/>
        </w:rPr>
        <w:t xml:space="preserve"> millones de dólare</w:t>
      </w:r>
      <w:r w:rsidRPr="00A041D2">
        <w:rPr>
          <w:rFonts w:ascii="Century Gothic" w:eastAsia="Times New Roman" w:hAnsi="Century Gothic" w:cstheme="minorHAnsi"/>
          <w:kern w:val="32"/>
          <w:lang w:val="es-ES" w:eastAsia="es-CO"/>
        </w:rPr>
        <w:t>s o su equivalente en otras monedas ($11 billones de pesos</w:t>
      </w:r>
      <w:r w:rsidR="00974A2C" w:rsidRPr="00A041D2">
        <w:rPr>
          <w:rFonts w:ascii="Century Gothic" w:eastAsia="Times New Roman" w:hAnsi="Century Gothic" w:cstheme="minorHAnsi"/>
          <w:kern w:val="32"/>
          <w:lang w:val="es-ES" w:eastAsia="es-CO"/>
        </w:rPr>
        <w:t>).</w:t>
      </w:r>
    </w:p>
    <w:p w14:paraId="583635AC" w14:textId="32B5E6CC" w:rsidR="00974A2C" w:rsidRPr="00A041D2" w:rsidRDefault="00974A2C" w:rsidP="00AB6485">
      <w:pPr>
        <w:suppressAutoHyphens/>
        <w:jc w:val="both"/>
        <w:textAlignment w:val="center"/>
        <w:rPr>
          <w:rFonts w:ascii="Century Gothic" w:eastAsia="Times New Roman" w:hAnsi="Century Gothic" w:cstheme="minorHAnsi"/>
          <w:kern w:val="32"/>
          <w:lang w:val="es-ES" w:eastAsia="es-CO"/>
        </w:rPr>
      </w:pPr>
    </w:p>
    <w:p w14:paraId="13130B46" w14:textId="62EADD81" w:rsidR="00D71296" w:rsidRPr="00A041D2" w:rsidRDefault="00974A2C" w:rsidP="00D71296">
      <w:pPr>
        <w:suppressAutoHyphens/>
        <w:jc w:val="both"/>
        <w:textAlignment w:val="center"/>
        <w:rPr>
          <w:rFonts w:ascii="Century Gothic" w:eastAsia="Times New Roman" w:hAnsi="Century Gothic" w:cstheme="minorHAnsi"/>
          <w:kern w:val="32"/>
          <w:lang w:val="es-ES" w:eastAsia="es-CO"/>
        </w:rPr>
      </w:pPr>
      <w:r w:rsidRPr="00A041D2">
        <w:rPr>
          <w:rFonts w:ascii="Century Gothic" w:eastAsia="Times New Roman" w:hAnsi="Century Gothic" w:cstheme="minorHAnsi"/>
          <w:kern w:val="32"/>
          <w:lang w:val="es-ES" w:eastAsia="es-CO"/>
        </w:rPr>
        <w:t xml:space="preserve">El fundamento de este proyecto, según el autor, es que el cupo de endeudamiento del Gobierno se agota y hay nuevas necesidades presupuestales producto de la </w:t>
      </w:r>
      <w:r w:rsidR="00654A22" w:rsidRPr="00A041D2">
        <w:rPr>
          <w:rFonts w:ascii="Century Gothic" w:eastAsia="Times New Roman" w:hAnsi="Century Gothic" w:cstheme="minorHAnsi"/>
          <w:kern w:val="32"/>
          <w:lang w:val="es-ES" w:eastAsia="es-CO"/>
        </w:rPr>
        <w:t>crisis</w:t>
      </w:r>
      <w:r w:rsidRPr="00A041D2">
        <w:rPr>
          <w:rFonts w:ascii="Century Gothic" w:eastAsia="Times New Roman" w:hAnsi="Century Gothic" w:cstheme="minorHAnsi"/>
          <w:kern w:val="32"/>
          <w:lang w:val="es-ES" w:eastAsia="es-CO"/>
        </w:rPr>
        <w:t xml:space="preserve"> </w:t>
      </w:r>
      <w:r w:rsidR="00654A22" w:rsidRPr="00A041D2">
        <w:rPr>
          <w:rFonts w:ascii="Century Gothic" w:eastAsia="Times New Roman" w:hAnsi="Century Gothic" w:cstheme="minorHAnsi"/>
          <w:kern w:val="32"/>
          <w:lang w:val="es-ES" w:eastAsia="es-CO"/>
        </w:rPr>
        <w:t>económica</w:t>
      </w:r>
      <w:r w:rsidRPr="00A041D2">
        <w:rPr>
          <w:rFonts w:ascii="Century Gothic" w:eastAsia="Times New Roman" w:hAnsi="Century Gothic" w:cstheme="minorHAnsi"/>
          <w:kern w:val="32"/>
          <w:lang w:val="es-ES" w:eastAsia="es-CO"/>
        </w:rPr>
        <w:t xml:space="preserve">. En la siguiente tabla se observa que al país le quedan $2.694 millones de dólares de cupo </w:t>
      </w:r>
      <w:r w:rsidR="00C768AA" w:rsidRPr="00A041D2">
        <w:rPr>
          <w:rFonts w:ascii="Century Gothic" w:eastAsia="Times New Roman" w:hAnsi="Century Gothic" w:cstheme="minorHAnsi"/>
          <w:kern w:val="32"/>
          <w:lang w:val="es-ES" w:eastAsia="es-CO"/>
        </w:rPr>
        <w:t xml:space="preserve">de endeudamiento </w:t>
      </w:r>
      <w:r w:rsidRPr="00A041D2">
        <w:rPr>
          <w:rFonts w:ascii="Century Gothic" w:eastAsia="Times New Roman" w:hAnsi="Century Gothic" w:cstheme="minorHAnsi"/>
          <w:kern w:val="32"/>
          <w:lang w:val="es-ES" w:eastAsia="es-CO"/>
        </w:rPr>
        <w:t xml:space="preserve">lo que representa alrededor de $9 billones de pesos. </w:t>
      </w:r>
    </w:p>
    <w:p w14:paraId="62D77313" w14:textId="7E668C3F" w:rsidR="00974A2C" w:rsidRPr="00A041D2" w:rsidRDefault="00974A2C" w:rsidP="00D71296">
      <w:pPr>
        <w:suppressAutoHyphens/>
        <w:jc w:val="both"/>
        <w:textAlignment w:val="center"/>
        <w:rPr>
          <w:rFonts w:ascii="Century Gothic" w:eastAsia="Times New Roman" w:hAnsi="Century Gothic" w:cstheme="minorHAnsi"/>
          <w:kern w:val="32"/>
          <w:lang w:val="es-ES" w:eastAsia="es-CO"/>
        </w:rPr>
      </w:pPr>
    </w:p>
    <w:p w14:paraId="3F1F3FC1" w14:textId="227C9EBF" w:rsidR="00974A2C" w:rsidRPr="00A041D2" w:rsidRDefault="00974A2C" w:rsidP="00D71296">
      <w:pPr>
        <w:suppressAutoHyphens/>
        <w:jc w:val="both"/>
        <w:textAlignment w:val="center"/>
        <w:rPr>
          <w:rFonts w:ascii="Century Gothic" w:eastAsia="Times New Roman" w:hAnsi="Century Gothic" w:cstheme="minorHAnsi"/>
          <w:kern w:val="32"/>
          <w:lang w:val="es-ES" w:eastAsia="es-CO"/>
        </w:rPr>
      </w:pPr>
      <w:r w:rsidRPr="00A041D2">
        <w:rPr>
          <w:rFonts w:ascii="Century Gothic" w:eastAsia="Times New Roman" w:hAnsi="Century Gothic" w:cstheme="minorHAnsi"/>
          <w:kern w:val="32"/>
          <w:lang w:val="es-ES" w:eastAsia="es-CO"/>
        </w:rPr>
        <w:t xml:space="preserve">Tabla. Cupo disponible de endeudamiento en dólares. </w:t>
      </w:r>
    </w:p>
    <w:p w14:paraId="607E1FF3" w14:textId="77777777" w:rsidR="00974A2C" w:rsidRPr="00A041D2" w:rsidRDefault="00974A2C" w:rsidP="00D71296">
      <w:pPr>
        <w:suppressAutoHyphens/>
        <w:jc w:val="both"/>
        <w:textAlignment w:val="center"/>
        <w:rPr>
          <w:rFonts w:ascii="Century Gothic" w:eastAsia="Times New Roman" w:hAnsi="Century Gothic" w:cstheme="minorHAnsi"/>
          <w:kern w:val="32"/>
          <w:lang w:val="es-ES" w:eastAsia="es-CO"/>
        </w:rPr>
      </w:pPr>
    </w:p>
    <w:p w14:paraId="23DF9129" w14:textId="2E892A51" w:rsidR="00D71296" w:rsidRPr="00A041D2" w:rsidRDefault="00974A2C" w:rsidP="008628E5">
      <w:pPr>
        <w:suppressAutoHyphens/>
        <w:jc w:val="center"/>
        <w:textAlignment w:val="center"/>
        <w:rPr>
          <w:rFonts w:ascii="Century Gothic" w:eastAsia="Times New Roman" w:hAnsi="Century Gothic" w:cstheme="minorHAnsi"/>
          <w:kern w:val="32"/>
          <w:lang w:val="es-ES" w:eastAsia="es-CO"/>
        </w:rPr>
      </w:pPr>
      <w:r w:rsidRPr="00A041D2">
        <w:rPr>
          <w:rFonts w:ascii="Century Gothic" w:eastAsia="Times New Roman" w:hAnsi="Century Gothic" w:cstheme="minorHAnsi"/>
          <w:noProof/>
          <w:kern w:val="32"/>
          <w:lang w:val="es-ES" w:eastAsia="es-CO"/>
        </w:rPr>
        <w:drawing>
          <wp:inline distT="0" distB="0" distL="0" distR="0" wp14:anchorId="5F2939CB" wp14:editId="340880A7">
            <wp:extent cx="4916311" cy="292486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9-28 at 1.03.35 PM.png"/>
                    <pic:cNvPicPr/>
                  </pic:nvPicPr>
                  <pic:blipFill>
                    <a:blip r:embed="rId9">
                      <a:extLst>
                        <a:ext uri="{28A0092B-C50C-407E-A947-70E740481C1C}">
                          <a14:useLocalDpi xmlns:a14="http://schemas.microsoft.com/office/drawing/2010/main" val="0"/>
                        </a:ext>
                      </a:extLst>
                    </a:blip>
                    <a:stretch>
                      <a:fillRect/>
                    </a:stretch>
                  </pic:blipFill>
                  <pic:spPr>
                    <a:xfrm>
                      <a:off x="0" y="0"/>
                      <a:ext cx="4918179" cy="2925977"/>
                    </a:xfrm>
                    <a:prstGeom prst="rect">
                      <a:avLst/>
                    </a:prstGeom>
                  </pic:spPr>
                </pic:pic>
              </a:graphicData>
            </a:graphic>
          </wp:inline>
        </w:drawing>
      </w:r>
    </w:p>
    <w:p w14:paraId="76EDC0AC" w14:textId="5BCC32B0" w:rsidR="009E24B1" w:rsidRPr="00A041D2" w:rsidRDefault="009E24B1" w:rsidP="00725308">
      <w:pPr>
        <w:suppressAutoHyphens/>
        <w:jc w:val="both"/>
        <w:textAlignment w:val="center"/>
        <w:rPr>
          <w:rFonts w:ascii="Century Gothic" w:eastAsia="Times New Roman" w:hAnsi="Century Gothic" w:cstheme="minorHAnsi"/>
          <w:kern w:val="32"/>
          <w:lang w:val="es-ES" w:eastAsia="es-CO"/>
        </w:rPr>
      </w:pPr>
    </w:p>
    <w:p w14:paraId="1BD4BD64" w14:textId="4B727161" w:rsidR="00974A2C" w:rsidRPr="00A041D2" w:rsidRDefault="00974A2C" w:rsidP="00974A2C">
      <w:pPr>
        <w:rPr>
          <w:rFonts w:ascii="Century Gothic" w:eastAsia="Times New Roman" w:hAnsi="Century Gothic" w:cstheme="minorHAnsi"/>
          <w:kern w:val="32"/>
          <w:lang w:val="es-ES" w:eastAsia="es-CO"/>
        </w:rPr>
      </w:pPr>
    </w:p>
    <w:p w14:paraId="00747E18" w14:textId="7C671318" w:rsidR="00974A2C" w:rsidRPr="00A041D2" w:rsidRDefault="00974A2C" w:rsidP="00974A2C">
      <w:pPr>
        <w:jc w:val="both"/>
        <w:rPr>
          <w:rFonts w:ascii="Century Gothic" w:eastAsia="Times New Roman" w:hAnsi="Century Gothic" w:cstheme="minorHAnsi"/>
          <w:kern w:val="32"/>
          <w:lang w:val="es-ES" w:eastAsia="es-CO"/>
        </w:rPr>
      </w:pPr>
      <w:r w:rsidRPr="00A041D2">
        <w:rPr>
          <w:rFonts w:ascii="Century Gothic" w:eastAsia="Times New Roman" w:hAnsi="Century Gothic" w:cstheme="minorHAnsi"/>
          <w:kern w:val="32"/>
          <w:lang w:val="es-ES" w:eastAsia="es-CO"/>
        </w:rPr>
        <w:t xml:space="preserve">Lo primero que se debe resaltar es que la deuda no es mal en sí misma, endeudarse puede ser benéfico para el país si es </w:t>
      </w:r>
      <w:r w:rsidR="00C768AA" w:rsidRPr="00A041D2">
        <w:rPr>
          <w:rFonts w:ascii="Century Gothic" w:eastAsia="Times New Roman" w:hAnsi="Century Gothic" w:cstheme="minorHAnsi"/>
          <w:kern w:val="32"/>
          <w:lang w:val="es-ES" w:eastAsia="es-CO"/>
        </w:rPr>
        <w:t>estos recursos se invierten en sectores estratégicos.</w:t>
      </w:r>
    </w:p>
    <w:p w14:paraId="3D903E1A" w14:textId="1E4313C5" w:rsidR="00C31348" w:rsidRPr="00A041D2" w:rsidRDefault="00C31348" w:rsidP="00C31348">
      <w:pPr>
        <w:suppressAutoHyphens/>
        <w:jc w:val="both"/>
        <w:textAlignment w:val="center"/>
        <w:rPr>
          <w:rFonts w:ascii="Century Gothic" w:eastAsia="Times New Roman" w:hAnsi="Century Gothic" w:cstheme="minorHAnsi"/>
          <w:kern w:val="32"/>
          <w:lang w:val="es-ES" w:eastAsia="es-CO"/>
        </w:rPr>
      </w:pPr>
    </w:p>
    <w:p w14:paraId="6F53CD9B" w14:textId="7D039EFA" w:rsidR="004C6F37" w:rsidRPr="00A041D2" w:rsidRDefault="004C6F37" w:rsidP="004C6F37">
      <w:pPr>
        <w:suppressAutoHyphens/>
        <w:jc w:val="both"/>
        <w:textAlignment w:val="center"/>
        <w:rPr>
          <w:rFonts w:ascii="Century Gothic" w:eastAsia="Times New Roman" w:hAnsi="Century Gothic" w:cstheme="minorHAnsi"/>
          <w:b/>
          <w:kern w:val="32"/>
          <w:lang w:val="es-ES" w:eastAsia="es-CO"/>
        </w:rPr>
      </w:pPr>
    </w:p>
    <w:p w14:paraId="1DE7A913" w14:textId="08C2D697" w:rsidR="00974A2C" w:rsidRPr="00A041D2" w:rsidRDefault="00974A2C" w:rsidP="00974A2C">
      <w:pPr>
        <w:suppressAutoHyphens/>
        <w:jc w:val="both"/>
        <w:textAlignment w:val="center"/>
        <w:rPr>
          <w:rFonts w:ascii="Century Gothic" w:eastAsia="Times New Roman" w:hAnsi="Century Gothic" w:cstheme="minorHAnsi"/>
          <w:kern w:val="32"/>
          <w:lang w:val="es-ES" w:eastAsia="es-CO"/>
        </w:rPr>
      </w:pPr>
      <w:r w:rsidRPr="00A041D2">
        <w:rPr>
          <w:rFonts w:ascii="Century Gothic" w:eastAsia="Times New Roman" w:hAnsi="Century Gothic" w:cstheme="minorHAnsi"/>
          <w:kern w:val="32"/>
          <w:lang w:val="es-ES" w:eastAsia="es-CO"/>
        </w:rPr>
        <w:lastRenderedPageBreak/>
        <w:t xml:space="preserve">La situación de la deuda en Colombia es preocupante </w:t>
      </w:r>
      <w:r w:rsidR="00C768AA" w:rsidRPr="00A041D2">
        <w:rPr>
          <w:rFonts w:ascii="Century Gothic" w:eastAsia="Times New Roman" w:hAnsi="Century Gothic" w:cstheme="minorHAnsi"/>
          <w:kern w:val="32"/>
          <w:lang w:val="es-ES" w:eastAsia="es-CO"/>
        </w:rPr>
        <w:t>porque desde</w:t>
      </w:r>
      <w:r w:rsidR="004C6F37" w:rsidRPr="00A041D2">
        <w:rPr>
          <w:rFonts w:ascii="Century Gothic" w:eastAsia="Times New Roman" w:hAnsi="Century Gothic" w:cstheme="minorHAnsi"/>
          <w:kern w:val="32"/>
          <w:lang w:val="es-ES" w:eastAsia="es-CO"/>
        </w:rPr>
        <w:t xml:space="preserve"> el 2010</w:t>
      </w:r>
      <w:r w:rsidRPr="00A041D2">
        <w:rPr>
          <w:rFonts w:ascii="Century Gothic" w:eastAsia="Times New Roman" w:hAnsi="Century Gothic" w:cstheme="minorHAnsi"/>
          <w:kern w:val="32"/>
          <w:lang w:val="es-ES" w:eastAsia="es-CO"/>
        </w:rPr>
        <w:t xml:space="preserve"> la participación </w:t>
      </w:r>
      <w:r w:rsidR="00C768AA" w:rsidRPr="00A041D2">
        <w:rPr>
          <w:rFonts w:ascii="Century Gothic" w:eastAsia="Times New Roman" w:hAnsi="Century Gothic" w:cstheme="minorHAnsi"/>
          <w:kern w:val="32"/>
          <w:lang w:val="es-ES" w:eastAsia="es-CO"/>
        </w:rPr>
        <w:t xml:space="preserve">de la deuda </w:t>
      </w:r>
      <w:r w:rsidRPr="00A041D2">
        <w:rPr>
          <w:rFonts w:ascii="Century Gothic" w:eastAsia="Times New Roman" w:hAnsi="Century Gothic" w:cstheme="minorHAnsi"/>
          <w:kern w:val="32"/>
          <w:lang w:val="es-ES" w:eastAsia="es-CO"/>
        </w:rPr>
        <w:t>com</w:t>
      </w:r>
      <w:r w:rsidR="0067057A" w:rsidRPr="00A041D2">
        <w:rPr>
          <w:rFonts w:ascii="Century Gothic" w:eastAsia="Times New Roman" w:hAnsi="Century Gothic" w:cstheme="minorHAnsi"/>
          <w:kern w:val="32"/>
          <w:lang w:val="es-ES" w:eastAsia="es-CO"/>
        </w:rPr>
        <w:t>o</w:t>
      </w:r>
      <w:r w:rsidRPr="00A041D2">
        <w:rPr>
          <w:rFonts w:ascii="Century Gothic" w:eastAsia="Times New Roman" w:hAnsi="Century Gothic" w:cstheme="minorHAnsi"/>
          <w:kern w:val="32"/>
          <w:lang w:val="es-ES" w:eastAsia="es-CO"/>
        </w:rPr>
        <w:t xml:space="preserve"> proporción del PIB ha estado al alza sin que esto haya significado un gasto público capaz de hacer frente a las nece</w:t>
      </w:r>
      <w:r w:rsidR="00C768AA" w:rsidRPr="00A041D2">
        <w:rPr>
          <w:rFonts w:ascii="Century Gothic" w:eastAsia="Times New Roman" w:hAnsi="Century Gothic" w:cstheme="minorHAnsi"/>
          <w:kern w:val="32"/>
          <w:lang w:val="es-ES" w:eastAsia="es-CO"/>
        </w:rPr>
        <w:t>s</w:t>
      </w:r>
      <w:r w:rsidRPr="00A041D2">
        <w:rPr>
          <w:rFonts w:ascii="Century Gothic" w:eastAsia="Times New Roman" w:hAnsi="Century Gothic" w:cstheme="minorHAnsi"/>
          <w:kern w:val="32"/>
          <w:lang w:val="es-ES" w:eastAsia="es-CO"/>
        </w:rPr>
        <w:t>idades económicas del país. Preocupa además que entre 2019 y 2020, la deuda extern</w:t>
      </w:r>
      <w:r w:rsidR="0067057A" w:rsidRPr="00A041D2">
        <w:rPr>
          <w:rFonts w:ascii="Century Gothic" w:eastAsia="Times New Roman" w:hAnsi="Century Gothic" w:cstheme="minorHAnsi"/>
          <w:kern w:val="32"/>
          <w:lang w:val="es-ES" w:eastAsia="es-CO"/>
        </w:rPr>
        <w:t>a</w:t>
      </w:r>
      <w:r w:rsidRPr="00A041D2">
        <w:rPr>
          <w:rFonts w:ascii="Century Gothic" w:eastAsia="Times New Roman" w:hAnsi="Century Gothic" w:cstheme="minorHAnsi"/>
          <w:kern w:val="32"/>
          <w:lang w:val="es-ES" w:eastAsia="es-CO"/>
        </w:rPr>
        <w:t xml:space="preserve"> tuvo un incremento en 9 puntos porcentuales. </w:t>
      </w:r>
    </w:p>
    <w:p w14:paraId="06FDC3E5" w14:textId="77777777" w:rsidR="00974A2C" w:rsidRPr="00A041D2" w:rsidRDefault="00974A2C" w:rsidP="00974A2C">
      <w:pPr>
        <w:suppressAutoHyphens/>
        <w:jc w:val="both"/>
        <w:textAlignment w:val="center"/>
        <w:rPr>
          <w:rFonts w:ascii="Century Gothic" w:eastAsia="Times New Roman" w:hAnsi="Century Gothic" w:cstheme="minorHAnsi"/>
          <w:kern w:val="32"/>
          <w:lang w:val="es-ES" w:eastAsia="es-CO"/>
        </w:rPr>
      </w:pPr>
    </w:p>
    <w:p w14:paraId="3562EDCE" w14:textId="09053FCB" w:rsidR="00974A2C" w:rsidRPr="00A041D2" w:rsidRDefault="00974A2C" w:rsidP="00974A2C">
      <w:pPr>
        <w:suppressAutoHyphens/>
        <w:jc w:val="both"/>
        <w:textAlignment w:val="center"/>
        <w:rPr>
          <w:rFonts w:ascii="Century Gothic" w:eastAsia="Times New Roman" w:hAnsi="Century Gothic" w:cstheme="minorHAnsi"/>
          <w:kern w:val="32"/>
          <w:lang w:val="es-ES" w:eastAsia="es-CO"/>
        </w:rPr>
      </w:pPr>
      <w:r w:rsidRPr="00A041D2">
        <w:rPr>
          <w:rFonts w:ascii="Century Gothic" w:eastAsia="Times New Roman" w:hAnsi="Century Gothic" w:cstheme="minorHAnsi"/>
          <w:b/>
          <w:kern w:val="32"/>
          <w:lang w:val="es-ES" w:eastAsia="es-CO"/>
        </w:rPr>
        <w:t>Gráfica.</w:t>
      </w:r>
      <w:r w:rsidRPr="00A041D2">
        <w:rPr>
          <w:rFonts w:ascii="Century Gothic" w:eastAsia="Times New Roman" w:hAnsi="Century Gothic" w:cstheme="minorHAnsi"/>
          <w:kern w:val="32"/>
          <w:lang w:val="es-ES" w:eastAsia="es-CO"/>
        </w:rPr>
        <w:t xml:space="preserve"> Participaci</w:t>
      </w:r>
      <w:r w:rsidR="0067057A" w:rsidRPr="00A041D2">
        <w:rPr>
          <w:rFonts w:ascii="Century Gothic" w:eastAsia="Times New Roman" w:hAnsi="Century Gothic" w:cstheme="minorHAnsi"/>
          <w:kern w:val="32"/>
          <w:lang w:val="es-ES" w:eastAsia="es-CO"/>
        </w:rPr>
        <w:t>ó</w:t>
      </w:r>
      <w:r w:rsidRPr="00A041D2">
        <w:rPr>
          <w:rFonts w:ascii="Century Gothic" w:eastAsia="Times New Roman" w:hAnsi="Century Gothic" w:cstheme="minorHAnsi"/>
          <w:kern w:val="32"/>
          <w:lang w:val="es-ES" w:eastAsia="es-CO"/>
        </w:rPr>
        <w:t>n de la deuda como % del PIB en Colombia 2010-2023.</w:t>
      </w:r>
    </w:p>
    <w:p w14:paraId="4A9CB9AF" w14:textId="68C3D87B" w:rsidR="004C6F37" w:rsidRPr="00A041D2" w:rsidRDefault="00974A2C" w:rsidP="004C6F37">
      <w:pPr>
        <w:suppressAutoHyphens/>
        <w:jc w:val="center"/>
        <w:textAlignment w:val="center"/>
        <w:rPr>
          <w:rFonts w:ascii="Century Gothic" w:eastAsia="Times New Roman" w:hAnsi="Century Gothic" w:cstheme="minorHAnsi"/>
          <w:kern w:val="32"/>
          <w:lang w:val="es-ES" w:eastAsia="es-CO"/>
        </w:rPr>
      </w:pPr>
      <w:r w:rsidRPr="00A041D2">
        <w:rPr>
          <w:rFonts w:ascii="Century Gothic" w:eastAsia="Times New Roman" w:hAnsi="Century Gothic" w:cstheme="minorHAnsi"/>
          <w:noProof/>
          <w:kern w:val="32"/>
          <w:lang w:val="es-ES" w:eastAsia="es-CO"/>
        </w:rPr>
        <w:drawing>
          <wp:inline distT="0" distB="0" distL="0" distR="0" wp14:anchorId="3C54D401" wp14:editId="1A16220A">
            <wp:extent cx="5612130" cy="213614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0-09-28 at 1.07.42 PM.png"/>
                    <pic:cNvPicPr/>
                  </pic:nvPicPr>
                  <pic:blipFill>
                    <a:blip r:embed="rId10">
                      <a:extLst>
                        <a:ext uri="{28A0092B-C50C-407E-A947-70E740481C1C}">
                          <a14:useLocalDpi xmlns:a14="http://schemas.microsoft.com/office/drawing/2010/main" val="0"/>
                        </a:ext>
                      </a:extLst>
                    </a:blip>
                    <a:stretch>
                      <a:fillRect/>
                    </a:stretch>
                  </pic:blipFill>
                  <pic:spPr>
                    <a:xfrm>
                      <a:off x="0" y="0"/>
                      <a:ext cx="5612130" cy="2136140"/>
                    </a:xfrm>
                    <a:prstGeom prst="rect">
                      <a:avLst/>
                    </a:prstGeom>
                  </pic:spPr>
                </pic:pic>
              </a:graphicData>
            </a:graphic>
          </wp:inline>
        </w:drawing>
      </w:r>
    </w:p>
    <w:p w14:paraId="5B869407" w14:textId="0973626F" w:rsidR="006416C8" w:rsidRPr="00A041D2" w:rsidRDefault="00974A2C" w:rsidP="005E505C">
      <w:pPr>
        <w:spacing w:before="100" w:beforeAutospacing="1" w:after="100" w:afterAutospacing="1"/>
        <w:jc w:val="both"/>
        <w:rPr>
          <w:rFonts w:ascii="Century Gothic" w:hAnsi="Century Gothic" w:cs="Arial"/>
          <w:bCs/>
          <w:lang w:val="es-ES"/>
        </w:rPr>
      </w:pPr>
      <w:r w:rsidRPr="00A041D2">
        <w:rPr>
          <w:rFonts w:ascii="Century Gothic" w:hAnsi="Century Gothic" w:cs="Arial"/>
          <w:bCs/>
          <w:lang w:val="es-ES"/>
        </w:rPr>
        <w:t xml:space="preserve">Esto implica, necesariamente, que para </w:t>
      </w:r>
      <w:r w:rsidR="005E505C" w:rsidRPr="00A041D2">
        <w:rPr>
          <w:rFonts w:ascii="Century Gothic" w:hAnsi="Century Gothic" w:cs="Arial"/>
          <w:bCs/>
          <w:lang w:val="es-ES"/>
        </w:rPr>
        <w:t xml:space="preserve">poder amortizar la deuda externa se necesita que las exportaciones crezcan mucho más, </w:t>
      </w:r>
      <w:r w:rsidR="00A95EC8" w:rsidRPr="00A041D2">
        <w:rPr>
          <w:rFonts w:ascii="Century Gothic" w:hAnsi="Century Gothic" w:cs="Arial"/>
          <w:bCs/>
          <w:lang w:val="es-ES"/>
        </w:rPr>
        <w:t xml:space="preserve">de lo contrario, no será posible </w:t>
      </w:r>
      <w:r w:rsidR="005E505C" w:rsidRPr="00A041D2">
        <w:rPr>
          <w:rFonts w:ascii="Century Gothic" w:hAnsi="Century Gothic" w:cs="Arial"/>
          <w:bCs/>
          <w:lang w:val="es-ES"/>
        </w:rPr>
        <w:t>obtener</w:t>
      </w:r>
      <w:r w:rsidR="00A95EC8" w:rsidRPr="00A041D2">
        <w:rPr>
          <w:rFonts w:ascii="Century Gothic" w:hAnsi="Century Gothic" w:cs="Arial"/>
          <w:bCs/>
          <w:lang w:val="es-ES"/>
        </w:rPr>
        <w:t xml:space="preserve"> </w:t>
      </w:r>
      <w:r w:rsidR="005E505C" w:rsidRPr="00A041D2">
        <w:rPr>
          <w:rFonts w:ascii="Century Gothic" w:hAnsi="Century Gothic" w:cs="Arial"/>
          <w:bCs/>
          <w:lang w:val="es-ES"/>
        </w:rPr>
        <w:t>las divisas</w:t>
      </w:r>
      <w:r w:rsidR="00A95EC8" w:rsidRPr="00A041D2">
        <w:rPr>
          <w:rFonts w:ascii="Century Gothic" w:hAnsi="Century Gothic" w:cs="Arial"/>
          <w:bCs/>
          <w:lang w:val="es-ES"/>
        </w:rPr>
        <w:t xml:space="preserve"> </w:t>
      </w:r>
      <w:r w:rsidR="005E505C" w:rsidRPr="00A041D2">
        <w:rPr>
          <w:rFonts w:ascii="Century Gothic" w:hAnsi="Century Gothic" w:cs="Arial"/>
          <w:bCs/>
          <w:lang w:val="es-ES"/>
        </w:rPr>
        <w:t>suficientes</w:t>
      </w:r>
      <w:r w:rsidR="0067057A" w:rsidRPr="00A041D2">
        <w:rPr>
          <w:rFonts w:ascii="Century Gothic" w:hAnsi="Century Gothic" w:cs="Arial"/>
          <w:bCs/>
          <w:lang w:val="es-ES"/>
        </w:rPr>
        <w:t xml:space="preserve"> </w:t>
      </w:r>
      <w:r w:rsidR="00A95EC8" w:rsidRPr="00A041D2">
        <w:rPr>
          <w:rFonts w:ascii="Century Gothic" w:hAnsi="Century Gothic" w:cs="Arial"/>
          <w:bCs/>
          <w:lang w:val="es-ES"/>
        </w:rPr>
        <w:t>para pagar la deuda externa</w:t>
      </w:r>
      <w:r w:rsidR="005E505C" w:rsidRPr="00A041D2">
        <w:rPr>
          <w:rFonts w:ascii="Century Gothic" w:hAnsi="Century Gothic" w:cs="Arial"/>
          <w:bCs/>
          <w:lang w:val="es-ES"/>
        </w:rPr>
        <w:t>. Esto implica que Colombia debe revaluar su estrategia de exportación. Primero, porque sigue existiendo una alta dependencia en los bienes primarios, especialmente en el petróleo y el carbón. Lo p</w:t>
      </w:r>
      <w:r w:rsidR="00654A22" w:rsidRPr="00A041D2">
        <w:rPr>
          <w:rFonts w:ascii="Century Gothic" w:hAnsi="Century Gothic" w:cs="Arial"/>
          <w:bCs/>
          <w:lang w:val="es-ES"/>
        </w:rPr>
        <w:t>roblemático</w:t>
      </w:r>
      <w:r w:rsidR="005E505C" w:rsidRPr="00A041D2">
        <w:rPr>
          <w:rFonts w:ascii="Century Gothic" w:hAnsi="Century Gothic" w:cs="Arial"/>
          <w:bCs/>
          <w:lang w:val="es-ES"/>
        </w:rPr>
        <w:t xml:space="preserve"> de esta </w:t>
      </w:r>
      <w:r w:rsidR="0067057A" w:rsidRPr="00A041D2">
        <w:rPr>
          <w:rFonts w:ascii="Century Gothic" w:hAnsi="Century Gothic" w:cs="Arial"/>
          <w:bCs/>
          <w:lang w:val="es-ES"/>
        </w:rPr>
        <w:t xml:space="preserve">dependencia </w:t>
      </w:r>
      <w:r w:rsidR="005E505C" w:rsidRPr="00A041D2">
        <w:rPr>
          <w:rFonts w:ascii="Century Gothic" w:hAnsi="Century Gothic" w:cs="Arial"/>
          <w:bCs/>
          <w:lang w:val="es-ES"/>
        </w:rPr>
        <w:t xml:space="preserve">es que son recursos finitos y que </w:t>
      </w:r>
      <w:r w:rsidR="0067057A" w:rsidRPr="00A041D2">
        <w:rPr>
          <w:rFonts w:ascii="Century Gothic" w:hAnsi="Century Gothic" w:cs="Arial"/>
          <w:bCs/>
          <w:lang w:val="es-ES"/>
        </w:rPr>
        <w:t>hay</w:t>
      </w:r>
      <w:r w:rsidR="005E505C" w:rsidRPr="00A041D2">
        <w:rPr>
          <w:rFonts w:ascii="Century Gothic" w:hAnsi="Century Gothic" w:cs="Arial"/>
          <w:bCs/>
          <w:lang w:val="es-ES"/>
        </w:rPr>
        <w:t xml:space="preserve"> un escenario</w:t>
      </w:r>
      <w:r w:rsidR="0067057A" w:rsidRPr="00A041D2">
        <w:rPr>
          <w:rFonts w:ascii="Century Gothic" w:hAnsi="Century Gothic" w:cs="Arial"/>
          <w:bCs/>
          <w:lang w:val="es-ES"/>
        </w:rPr>
        <w:t xml:space="preserve"> global</w:t>
      </w:r>
      <w:r w:rsidR="005E505C" w:rsidRPr="00A041D2">
        <w:rPr>
          <w:rFonts w:ascii="Century Gothic" w:hAnsi="Century Gothic" w:cs="Arial"/>
          <w:bCs/>
          <w:lang w:val="es-ES"/>
        </w:rPr>
        <w:t xml:space="preserve"> de sobre oferta de crudo desde el año 2016</w:t>
      </w:r>
      <w:r w:rsidR="00654A22" w:rsidRPr="00A041D2">
        <w:rPr>
          <w:rFonts w:ascii="Century Gothic" w:hAnsi="Century Gothic" w:cs="Arial"/>
          <w:bCs/>
          <w:lang w:val="es-ES"/>
        </w:rPr>
        <w:t>.</w:t>
      </w:r>
      <w:r w:rsidR="005E505C" w:rsidRPr="00A041D2">
        <w:rPr>
          <w:rFonts w:ascii="Century Gothic" w:hAnsi="Century Gothic" w:cs="Arial"/>
          <w:bCs/>
          <w:lang w:val="es-ES"/>
        </w:rPr>
        <w:t xml:space="preserve"> </w:t>
      </w:r>
      <w:r w:rsidR="00654A22" w:rsidRPr="00A041D2">
        <w:rPr>
          <w:rFonts w:ascii="Century Gothic" w:hAnsi="Century Gothic" w:cs="Arial"/>
          <w:bCs/>
          <w:lang w:val="es-ES"/>
        </w:rPr>
        <w:t>Además, en el futuro habrá menor consumo de carbón por</w:t>
      </w:r>
      <w:r w:rsidR="0067057A" w:rsidRPr="00A041D2">
        <w:rPr>
          <w:rFonts w:ascii="Century Gothic" w:hAnsi="Century Gothic" w:cs="Arial"/>
          <w:bCs/>
          <w:lang w:val="es-ES"/>
        </w:rPr>
        <w:t xml:space="preserve"> la</w:t>
      </w:r>
      <w:r w:rsidR="005E505C" w:rsidRPr="00A041D2">
        <w:rPr>
          <w:rFonts w:ascii="Century Gothic" w:hAnsi="Century Gothic" w:cs="Arial"/>
          <w:bCs/>
          <w:lang w:val="es-ES"/>
        </w:rPr>
        <w:t xml:space="preserve"> transición global </w:t>
      </w:r>
      <w:r w:rsidR="00654A22" w:rsidRPr="00A041D2">
        <w:rPr>
          <w:rFonts w:ascii="Century Gothic" w:hAnsi="Century Gothic" w:cs="Arial"/>
          <w:bCs/>
          <w:lang w:val="es-ES"/>
        </w:rPr>
        <w:t>hacia energías más limpias</w:t>
      </w:r>
      <w:r w:rsidR="005E505C" w:rsidRPr="00A041D2">
        <w:rPr>
          <w:rFonts w:ascii="Century Gothic" w:hAnsi="Century Gothic" w:cs="Arial"/>
          <w:bCs/>
          <w:lang w:val="es-ES"/>
        </w:rPr>
        <w:t xml:space="preserve">. Si el mundo no está dispuesto a comprar petróleo ni carbón, las exportaciones </w:t>
      </w:r>
      <w:r w:rsidR="00654A22" w:rsidRPr="00A041D2">
        <w:rPr>
          <w:rFonts w:ascii="Century Gothic" w:hAnsi="Century Gothic" w:cs="Arial"/>
          <w:bCs/>
          <w:lang w:val="es-ES"/>
        </w:rPr>
        <w:t>colombianas</w:t>
      </w:r>
      <w:r w:rsidR="005E505C" w:rsidRPr="00A041D2">
        <w:rPr>
          <w:rFonts w:ascii="Century Gothic" w:hAnsi="Century Gothic" w:cs="Arial"/>
          <w:bCs/>
          <w:lang w:val="es-ES"/>
        </w:rPr>
        <w:t xml:space="preserve"> se verán en aprietos</w:t>
      </w:r>
      <w:r w:rsidR="0067057A" w:rsidRPr="00A041D2">
        <w:rPr>
          <w:rFonts w:ascii="Century Gothic" w:hAnsi="Century Gothic" w:cs="Arial"/>
          <w:bCs/>
          <w:lang w:val="es-ES"/>
        </w:rPr>
        <w:t xml:space="preserve"> hacia el futuro.</w:t>
      </w:r>
    </w:p>
    <w:p w14:paraId="3E281D1B" w14:textId="23F16403" w:rsidR="0067057A" w:rsidRPr="00A041D2" w:rsidRDefault="0067057A" w:rsidP="005E505C">
      <w:pPr>
        <w:spacing w:before="100" w:beforeAutospacing="1" w:after="100" w:afterAutospacing="1"/>
        <w:jc w:val="both"/>
        <w:rPr>
          <w:rFonts w:ascii="Century Gothic" w:hAnsi="Century Gothic" w:cs="Arial"/>
          <w:bCs/>
          <w:lang w:val="es-ES"/>
        </w:rPr>
      </w:pPr>
    </w:p>
    <w:p w14:paraId="7E967A56" w14:textId="6DE03EBC" w:rsidR="0067057A" w:rsidRPr="00A041D2" w:rsidRDefault="0067057A" w:rsidP="005E505C">
      <w:pPr>
        <w:spacing w:before="100" w:beforeAutospacing="1" w:after="100" w:afterAutospacing="1"/>
        <w:jc w:val="both"/>
        <w:rPr>
          <w:rFonts w:ascii="Century Gothic" w:hAnsi="Century Gothic" w:cs="Arial"/>
          <w:bCs/>
          <w:lang w:val="es-ES"/>
        </w:rPr>
      </w:pPr>
    </w:p>
    <w:p w14:paraId="4ED39820" w14:textId="267FD7C5" w:rsidR="0067057A" w:rsidRPr="00A041D2" w:rsidRDefault="0067057A" w:rsidP="005E505C">
      <w:pPr>
        <w:spacing w:before="100" w:beforeAutospacing="1" w:after="100" w:afterAutospacing="1"/>
        <w:jc w:val="both"/>
        <w:rPr>
          <w:rFonts w:ascii="Century Gothic" w:hAnsi="Century Gothic" w:cs="Arial"/>
          <w:bCs/>
          <w:lang w:val="es-ES"/>
        </w:rPr>
      </w:pPr>
    </w:p>
    <w:p w14:paraId="118579BC" w14:textId="77777777" w:rsidR="0067057A" w:rsidRPr="00A041D2" w:rsidRDefault="0067057A" w:rsidP="005E505C">
      <w:pPr>
        <w:spacing w:before="100" w:beforeAutospacing="1" w:after="100" w:afterAutospacing="1"/>
        <w:jc w:val="both"/>
        <w:rPr>
          <w:rFonts w:ascii="Century Gothic" w:hAnsi="Century Gothic" w:cs="Arial"/>
          <w:bCs/>
          <w:lang w:val="es-ES"/>
        </w:rPr>
      </w:pPr>
    </w:p>
    <w:p w14:paraId="1B73FE55" w14:textId="4A30F88D" w:rsidR="006416C8" w:rsidRPr="00A041D2" w:rsidRDefault="006416C8" w:rsidP="005E505C">
      <w:pPr>
        <w:spacing w:before="100" w:beforeAutospacing="1" w:after="100" w:afterAutospacing="1"/>
        <w:jc w:val="both"/>
        <w:rPr>
          <w:rFonts w:ascii="Century Gothic" w:hAnsi="Century Gothic" w:cs="Arial"/>
          <w:bCs/>
          <w:lang w:val="es-ES"/>
        </w:rPr>
      </w:pPr>
      <w:r w:rsidRPr="00A041D2">
        <w:rPr>
          <w:rFonts w:ascii="Century Gothic" w:hAnsi="Century Gothic" w:cs="Arial"/>
          <w:bCs/>
          <w:lang w:val="es-ES"/>
        </w:rPr>
        <w:lastRenderedPageBreak/>
        <w:t xml:space="preserve">En la siguiente gráfica se observa la deuda externa como proporción de las exportaciones. </w:t>
      </w:r>
      <w:r w:rsidR="0067057A" w:rsidRPr="00A041D2">
        <w:rPr>
          <w:rFonts w:ascii="Century Gothic" w:hAnsi="Century Gothic" w:cs="Arial"/>
          <w:bCs/>
          <w:lang w:val="es-ES"/>
        </w:rPr>
        <w:t>Desde</w:t>
      </w:r>
      <w:r w:rsidR="008628E5" w:rsidRPr="00A041D2">
        <w:rPr>
          <w:rFonts w:ascii="Century Gothic" w:hAnsi="Century Gothic" w:cs="Arial"/>
          <w:bCs/>
          <w:lang w:val="es-ES"/>
        </w:rPr>
        <w:t xml:space="preserve"> el año 2011 existe una tendencia al alza, es decir, el país tiene cada vez más deuda y menos exportaciones. </w:t>
      </w:r>
    </w:p>
    <w:p w14:paraId="394244AA" w14:textId="3F1CAD4B" w:rsidR="008628E5" w:rsidRPr="00A041D2" w:rsidRDefault="008628E5" w:rsidP="005E505C">
      <w:pPr>
        <w:spacing w:before="100" w:beforeAutospacing="1" w:after="100" w:afterAutospacing="1"/>
        <w:jc w:val="both"/>
        <w:rPr>
          <w:rFonts w:ascii="Century Gothic" w:hAnsi="Century Gothic" w:cs="Arial"/>
          <w:bCs/>
          <w:lang w:val="es-ES"/>
        </w:rPr>
      </w:pPr>
      <w:r w:rsidRPr="00A041D2">
        <w:rPr>
          <w:rFonts w:ascii="Century Gothic" w:hAnsi="Century Gothic" w:cs="Arial"/>
          <w:bCs/>
          <w:lang w:val="es-ES"/>
        </w:rPr>
        <w:t>Gráfica. Deuda externa como % de la</w:t>
      </w:r>
      <w:r w:rsidR="0067057A" w:rsidRPr="00A041D2">
        <w:rPr>
          <w:rFonts w:ascii="Century Gothic" w:hAnsi="Century Gothic" w:cs="Arial"/>
          <w:bCs/>
          <w:lang w:val="es-ES"/>
        </w:rPr>
        <w:t>s</w:t>
      </w:r>
      <w:r w:rsidRPr="00A041D2">
        <w:rPr>
          <w:rFonts w:ascii="Century Gothic" w:hAnsi="Century Gothic" w:cs="Arial"/>
          <w:bCs/>
          <w:lang w:val="es-ES"/>
        </w:rPr>
        <w:t xml:space="preserve"> exportaciones 2011-2023</w:t>
      </w:r>
    </w:p>
    <w:p w14:paraId="34FCF002" w14:textId="262FF1BB" w:rsidR="006416C8" w:rsidRPr="00A041D2" w:rsidRDefault="008628E5" w:rsidP="005E505C">
      <w:pPr>
        <w:spacing w:before="100" w:beforeAutospacing="1" w:after="100" w:afterAutospacing="1"/>
        <w:jc w:val="both"/>
        <w:rPr>
          <w:rFonts w:ascii="Century Gothic" w:hAnsi="Century Gothic" w:cs="Arial"/>
          <w:bCs/>
          <w:lang w:val="es-ES"/>
        </w:rPr>
      </w:pPr>
      <w:r w:rsidRPr="00A041D2">
        <w:rPr>
          <w:rFonts w:ascii="Century Gothic" w:hAnsi="Century Gothic" w:cs="Arial"/>
          <w:bCs/>
          <w:noProof/>
          <w:lang w:val="es-ES"/>
        </w:rPr>
        <w:drawing>
          <wp:inline distT="0" distB="0" distL="0" distR="0" wp14:anchorId="18596429" wp14:editId="0D9906FD">
            <wp:extent cx="5612130" cy="2550160"/>
            <wp:effectExtent l="0" t="0" r="127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0-09-28 at 2.59.58 PM.png"/>
                    <pic:cNvPicPr/>
                  </pic:nvPicPr>
                  <pic:blipFill>
                    <a:blip r:embed="rId11">
                      <a:extLst>
                        <a:ext uri="{28A0092B-C50C-407E-A947-70E740481C1C}">
                          <a14:useLocalDpi xmlns:a14="http://schemas.microsoft.com/office/drawing/2010/main" val="0"/>
                        </a:ext>
                      </a:extLst>
                    </a:blip>
                    <a:stretch>
                      <a:fillRect/>
                    </a:stretch>
                  </pic:blipFill>
                  <pic:spPr>
                    <a:xfrm>
                      <a:off x="0" y="0"/>
                      <a:ext cx="5612130" cy="2550160"/>
                    </a:xfrm>
                    <a:prstGeom prst="rect">
                      <a:avLst/>
                    </a:prstGeom>
                  </pic:spPr>
                </pic:pic>
              </a:graphicData>
            </a:graphic>
          </wp:inline>
        </w:drawing>
      </w:r>
    </w:p>
    <w:p w14:paraId="55DA82A6" w14:textId="0B3F2D37" w:rsidR="008628E5" w:rsidRPr="00A041D2" w:rsidRDefault="008628E5" w:rsidP="008628E5">
      <w:pPr>
        <w:spacing w:before="100" w:beforeAutospacing="1" w:after="100" w:afterAutospacing="1"/>
        <w:jc w:val="both"/>
        <w:rPr>
          <w:rFonts w:ascii="Century Gothic" w:hAnsi="Century Gothic" w:cs="Arial"/>
          <w:bCs/>
          <w:lang w:val="es-ES"/>
        </w:rPr>
      </w:pPr>
      <w:r w:rsidRPr="00A041D2">
        <w:rPr>
          <w:rFonts w:ascii="Century Gothic" w:hAnsi="Century Gothic" w:cs="Arial"/>
          <w:bCs/>
          <w:lang w:val="es-ES"/>
        </w:rPr>
        <w:t xml:space="preserve">Ahora bien, la reducción de este indicador </w:t>
      </w:r>
      <w:r w:rsidR="0067057A" w:rsidRPr="00A041D2">
        <w:rPr>
          <w:rFonts w:ascii="Century Gothic" w:hAnsi="Century Gothic" w:cs="Arial"/>
          <w:bCs/>
          <w:lang w:val="es-ES"/>
        </w:rPr>
        <w:t xml:space="preserve">a partir del año 2020 </w:t>
      </w:r>
      <w:r w:rsidRPr="00A041D2">
        <w:rPr>
          <w:rFonts w:ascii="Century Gothic" w:hAnsi="Century Gothic" w:cs="Arial"/>
          <w:bCs/>
          <w:lang w:val="es-ES"/>
        </w:rPr>
        <w:t>deberá responder a una reducción del endeudamiento en d</w:t>
      </w:r>
      <w:r w:rsidR="00F95876" w:rsidRPr="00A041D2">
        <w:rPr>
          <w:rFonts w:ascii="Century Gothic" w:hAnsi="Century Gothic" w:cs="Arial"/>
          <w:bCs/>
          <w:lang w:val="es-ES"/>
        </w:rPr>
        <w:t>ólares</w:t>
      </w:r>
      <w:r w:rsidRPr="00A041D2">
        <w:rPr>
          <w:rFonts w:ascii="Century Gothic" w:hAnsi="Century Gothic" w:cs="Arial"/>
          <w:bCs/>
          <w:lang w:val="es-ES"/>
        </w:rPr>
        <w:t xml:space="preserve"> y/o a un aumento de la exportación. Esto implica necesariamente tener que cambiar la estrategia de exportación en el país toda vez que en los últimos años la cuenta corriente ha venido empeorando. </w:t>
      </w:r>
    </w:p>
    <w:p w14:paraId="16B853B4" w14:textId="386FE7F3" w:rsidR="008628E5" w:rsidRPr="00A041D2" w:rsidRDefault="008628E5" w:rsidP="008628E5">
      <w:pPr>
        <w:spacing w:before="100" w:beforeAutospacing="1" w:after="100" w:afterAutospacing="1"/>
        <w:jc w:val="both"/>
        <w:rPr>
          <w:rFonts w:ascii="Century Gothic" w:hAnsi="Century Gothic" w:cs="Arial"/>
          <w:bCs/>
          <w:lang w:val="es-ES"/>
        </w:rPr>
      </w:pPr>
    </w:p>
    <w:p w14:paraId="38221AA9" w14:textId="671D215B" w:rsidR="008628E5" w:rsidRPr="00A041D2" w:rsidRDefault="008628E5" w:rsidP="008628E5">
      <w:pPr>
        <w:spacing w:before="100" w:beforeAutospacing="1" w:after="100" w:afterAutospacing="1"/>
        <w:jc w:val="both"/>
        <w:rPr>
          <w:rFonts w:ascii="Century Gothic" w:hAnsi="Century Gothic" w:cs="Arial"/>
          <w:bCs/>
          <w:lang w:val="es-ES"/>
        </w:rPr>
      </w:pPr>
    </w:p>
    <w:p w14:paraId="6395A069" w14:textId="7E37BBC0" w:rsidR="0067057A" w:rsidRPr="00A041D2" w:rsidRDefault="0067057A" w:rsidP="008628E5">
      <w:pPr>
        <w:spacing w:before="100" w:beforeAutospacing="1" w:after="100" w:afterAutospacing="1"/>
        <w:jc w:val="both"/>
        <w:rPr>
          <w:rFonts w:ascii="Century Gothic" w:hAnsi="Century Gothic" w:cs="Arial"/>
          <w:bCs/>
          <w:lang w:val="es-ES"/>
        </w:rPr>
      </w:pPr>
    </w:p>
    <w:p w14:paraId="3B2AAC43" w14:textId="77777777" w:rsidR="0067057A" w:rsidRPr="00A041D2" w:rsidRDefault="0067057A" w:rsidP="008628E5">
      <w:pPr>
        <w:spacing w:before="100" w:beforeAutospacing="1" w:after="100" w:afterAutospacing="1"/>
        <w:jc w:val="both"/>
        <w:rPr>
          <w:rFonts w:ascii="Century Gothic" w:hAnsi="Century Gothic" w:cs="Arial"/>
          <w:bCs/>
          <w:lang w:val="es-ES"/>
        </w:rPr>
      </w:pPr>
    </w:p>
    <w:p w14:paraId="49BFC547" w14:textId="5D000FD4" w:rsidR="008628E5" w:rsidRPr="00A041D2" w:rsidRDefault="008628E5" w:rsidP="008628E5">
      <w:pPr>
        <w:spacing w:before="100" w:beforeAutospacing="1" w:after="100" w:afterAutospacing="1"/>
        <w:jc w:val="both"/>
        <w:rPr>
          <w:rFonts w:ascii="Century Gothic" w:hAnsi="Century Gothic" w:cs="Arial"/>
          <w:bCs/>
          <w:lang w:val="es-ES"/>
        </w:rPr>
      </w:pPr>
    </w:p>
    <w:p w14:paraId="0EE71803" w14:textId="5290E4DC" w:rsidR="008628E5" w:rsidRPr="00A041D2" w:rsidRDefault="008628E5" w:rsidP="008628E5">
      <w:pPr>
        <w:spacing w:before="100" w:beforeAutospacing="1" w:after="100" w:afterAutospacing="1"/>
        <w:jc w:val="both"/>
        <w:rPr>
          <w:rFonts w:ascii="Century Gothic" w:hAnsi="Century Gothic" w:cs="Arial"/>
          <w:bCs/>
          <w:lang w:val="es-ES"/>
        </w:rPr>
      </w:pPr>
    </w:p>
    <w:p w14:paraId="73702D76" w14:textId="58680173" w:rsidR="008628E5" w:rsidRPr="00A041D2" w:rsidRDefault="0069684E" w:rsidP="008628E5">
      <w:pPr>
        <w:spacing w:before="100" w:beforeAutospacing="1" w:after="100" w:afterAutospacing="1"/>
        <w:jc w:val="both"/>
        <w:rPr>
          <w:rFonts w:ascii="Century Gothic" w:hAnsi="Century Gothic" w:cs="Arial"/>
          <w:bCs/>
          <w:lang w:val="es-ES"/>
        </w:rPr>
      </w:pPr>
      <w:r w:rsidRPr="00A041D2">
        <w:rPr>
          <w:rFonts w:ascii="Century Gothic" w:hAnsi="Century Gothic" w:cs="Arial"/>
          <w:bCs/>
          <w:lang w:val="es-ES"/>
        </w:rPr>
        <w:lastRenderedPageBreak/>
        <w:t>Gráfica. Cuenta corriente como % del PIB en diferentes países de América Latina 2018-2019</w:t>
      </w:r>
    </w:p>
    <w:p w14:paraId="21100124" w14:textId="64C4BE70" w:rsidR="008628E5" w:rsidRPr="00A041D2" w:rsidRDefault="008628E5" w:rsidP="0069684E">
      <w:pPr>
        <w:spacing w:before="100" w:beforeAutospacing="1" w:after="100" w:afterAutospacing="1"/>
        <w:jc w:val="center"/>
        <w:rPr>
          <w:rFonts w:ascii="Century Gothic" w:hAnsi="Century Gothic" w:cs="Arial"/>
          <w:bCs/>
          <w:lang w:val="es-ES"/>
        </w:rPr>
      </w:pPr>
      <w:r w:rsidRPr="00A041D2">
        <w:rPr>
          <w:rFonts w:ascii="Century Gothic" w:eastAsia="Times New Roman" w:hAnsi="Century Gothic" w:cstheme="minorHAnsi"/>
          <w:b/>
          <w:noProof/>
          <w:kern w:val="32"/>
          <w:lang w:val="es-ES" w:eastAsia="es-CO"/>
        </w:rPr>
        <w:drawing>
          <wp:inline distT="0" distB="0" distL="0" distR="0" wp14:anchorId="28A07715" wp14:editId="5B8DCA23">
            <wp:extent cx="4834165" cy="2562578"/>
            <wp:effectExtent l="0" t="0" r="508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20-09-28 at 2.00.36 PM.png"/>
                    <pic:cNvPicPr/>
                  </pic:nvPicPr>
                  <pic:blipFill>
                    <a:blip r:embed="rId12">
                      <a:extLst>
                        <a:ext uri="{28A0092B-C50C-407E-A947-70E740481C1C}">
                          <a14:useLocalDpi xmlns:a14="http://schemas.microsoft.com/office/drawing/2010/main" val="0"/>
                        </a:ext>
                      </a:extLst>
                    </a:blip>
                    <a:stretch>
                      <a:fillRect/>
                    </a:stretch>
                  </pic:blipFill>
                  <pic:spPr>
                    <a:xfrm>
                      <a:off x="0" y="0"/>
                      <a:ext cx="4836554" cy="2563844"/>
                    </a:xfrm>
                    <a:prstGeom prst="rect">
                      <a:avLst/>
                    </a:prstGeom>
                  </pic:spPr>
                </pic:pic>
              </a:graphicData>
            </a:graphic>
          </wp:inline>
        </w:drawing>
      </w:r>
    </w:p>
    <w:p w14:paraId="602F76E2" w14:textId="77777777" w:rsidR="0067057A" w:rsidRPr="00A041D2" w:rsidRDefault="0067057A" w:rsidP="009450B3">
      <w:pPr>
        <w:spacing w:before="100" w:beforeAutospacing="1" w:after="100" w:afterAutospacing="1"/>
        <w:jc w:val="both"/>
        <w:rPr>
          <w:rFonts w:ascii="Century Gothic" w:hAnsi="Century Gothic" w:cs="Arial"/>
          <w:bCs/>
          <w:lang w:val="es-ES"/>
        </w:rPr>
      </w:pPr>
      <w:r w:rsidRPr="00A041D2">
        <w:rPr>
          <w:rFonts w:ascii="Century Gothic" w:hAnsi="Century Gothic" w:cs="Arial"/>
          <w:bCs/>
          <w:lang w:val="es-ES"/>
        </w:rPr>
        <w:t xml:space="preserve">En la siguiente gráfica se observa que el déficit de cuenta corriente se desmejoró en 0,4 puntos porcentuales pasando de -3,9% del PIB a -4,3% del PIB. Si Colombia no transforma su estrategia de comercio internacional será imposible fortalecer las exportaciones y por tanto cumplir con las obligaciones externas. </w:t>
      </w:r>
    </w:p>
    <w:p w14:paraId="0391AD54" w14:textId="06B30F4A" w:rsidR="0067057A" w:rsidRPr="00A041D2" w:rsidRDefault="0067057A" w:rsidP="009450B3">
      <w:pPr>
        <w:spacing w:before="100" w:beforeAutospacing="1" w:after="100" w:afterAutospacing="1"/>
        <w:jc w:val="both"/>
        <w:rPr>
          <w:rFonts w:ascii="Century Gothic" w:hAnsi="Century Gothic" w:cs="Arial"/>
          <w:bCs/>
          <w:lang w:val="es-ES"/>
        </w:rPr>
      </w:pPr>
    </w:p>
    <w:p w14:paraId="1E5E3DF6" w14:textId="207BC310" w:rsidR="0067057A" w:rsidRPr="00A041D2" w:rsidRDefault="0067057A" w:rsidP="009450B3">
      <w:pPr>
        <w:spacing w:before="100" w:beforeAutospacing="1" w:after="100" w:afterAutospacing="1"/>
        <w:jc w:val="both"/>
        <w:rPr>
          <w:rFonts w:ascii="Century Gothic" w:hAnsi="Century Gothic" w:cs="Arial"/>
          <w:bCs/>
          <w:lang w:val="es-ES"/>
        </w:rPr>
      </w:pPr>
    </w:p>
    <w:p w14:paraId="46F6F53C" w14:textId="0B2AD006" w:rsidR="0067057A" w:rsidRPr="00A041D2" w:rsidRDefault="0067057A" w:rsidP="009450B3">
      <w:pPr>
        <w:spacing w:before="100" w:beforeAutospacing="1" w:after="100" w:afterAutospacing="1"/>
        <w:jc w:val="both"/>
        <w:rPr>
          <w:rFonts w:ascii="Century Gothic" w:hAnsi="Century Gothic" w:cs="Arial"/>
          <w:bCs/>
          <w:lang w:val="es-ES"/>
        </w:rPr>
      </w:pPr>
    </w:p>
    <w:p w14:paraId="047B25C3" w14:textId="03646A6F" w:rsidR="0067057A" w:rsidRPr="00A041D2" w:rsidRDefault="0067057A" w:rsidP="009450B3">
      <w:pPr>
        <w:spacing w:before="100" w:beforeAutospacing="1" w:after="100" w:afterAutospacing="1"/>
        <w:jc w:val="both"/>
        <w:rPr>
          <w:rFonts w:ascii="Century Gothic" w:hAnsi="Century Gothic" w:cs="Arial"/>
          <w:bCs/>
          <w:lang w:val="es-ES"/>
        </w:rPr>
      </w:pPr>
    </w:p>
    <w:p w14:paraId="3E53C777" w14:textId="2F180157" w:rsidR="0067057A" w:rsidRPr="00A041D2" w:rsidRDefault="0067057A" w:rsidP="009450B3">
      <w:pPr>
        <w:spacing w:before="100" w:beforeAutospacing="1" w:after="100" w:afterAutospacing="1"/>
        <w:jc w:val="both"/>
        <w:rPr>
          <w:rFonts w:ascii="Century Gothic" w:hAnsi="Century Gothic" w:cs="Arial"/>
          <w:bCs/>
          <w:lang w:val="es-ES"/>
        </w:rPr>
      </w:pPr>
    </w:p>
    <w:p w14:paraId="46F829AB" w14:textId="39634E67" w:rsidR="0067057A" w:rsidRPr="00A041D2" w:rsidRDefault="0067057A" w:rsidP="009450B3">
      <w:pPr>
        <w:spacing w:before="100" w:beforeAutospacing="1" w:after="100" w:afterAutospacing="1"/>
        <w:jc w:val="both"/>
        <w:rPr>
          <w:rFonts w:ascii="Century Gothic" w:hAnsi="Century Gothic" w:cs="Arial"/>
          <w:bCs/>
          <w:lang w:val="es-ES"/>
        </w:rPr>
      </w:pPr>
    </w:p>
    <w:p w14:paraId="31C3919F" w14:textId="36B65030" w:rsidR="0067057A" w:rsidRPr="00A041D2" w:rsidRDefault="0067057A" w:rsidP="009450B3">
      <w:pPr>
        <w:spacing w:before="100" w:beforeAutospacing="1" w:after="100" w:afterAutospacing="1"/>
        <w:jc w:val="both"/>
        <w:rPr>
          <w:rFonts w:ascii="Century Gothic" w:hAnsi="Century Gothic" w:cs="Arial"/>
          <w:bCs/>
          <w:lang w:val="es-ES"/>
        </w:rPr>
      </w:pPr>
    </w:p>
    <w:p w14:paraId="4DDC9994" w14:textId="77777777" w:rsidR="0067057A" w:rsidRPr="00A041D2" w:rsidRDefault="0067057A" w:rsidP="009450B3">
      <w:pPr>
        <w:spacing w:before="100" w:beforeAutospacing="1" w:after="100" w:afterAutospacing="1"/>
        <w:jc w:val="both"/>
        <w:rPr>
          <w:rFonts w:ascii="Century Gothic" w:hAnsi="Century Gothic" w:cs="Arial"/>
          <w:bCs/>
          <w:lang w:val="es-ES"/>
        </w:rPr>
      </w:pPr>
    </w:p>
    <w:p w14:paraId="1E44E961" w14:textId="77777777" w:rsidR="0067057A" w:rsidRPr="00A041D2" w:rsidRDefault="0067057A" w:rsidP="0067057A">
      <w:pPr>
        <w:spacing w:before="100" w:beforeAutospacing="1" w:after="100" w:afterAutospacing="1"/>
        <w:jc w:val="both"/>
        <w:rPr>
          <w:rFonts w:ascii="Century Gothic" w:hAnsi="Century Gothic" w:cs="Arial"/>
          <w:bCs/>
          <w:lang w:val="es-ES"/>
        </w:rPr>
      </w:pPr>
      <w:r w:rsidRPr="00A041D2">
        <w:rPr>
          <w:rFonts w:ascii="Century Gothic" w:hAnsi="Century Gothic" w:cs="Arial"/>
          <w:bCs/>
          <w:lang w:val="es-ES"/>
        </w:rPr>
        <w:lastRenderedPageBreak/>
        <w:t xml:space="preserve">En la siguiente gráfica se observa que se proyecta reducir el déficit de cuenta corriente a través de una reducción de importaciones y un leve incremento de las exportaciones no tradicionales. </w:t>
      </w:r>
    </w:p>
    <w:p w14:paraId="4A20CC6C" w14:textId="4FAAAF23" w:rsidR="00D41530" w:rsidRPr="00A041D2" w:rsidRDefault="00D41530" w:rsidP="00D41530">
      <w:pPr>
        <w:spacing w:before="100" w:beforeAutospacing="1" w:after="100" w:afterAutospacing="1"/>
        <w:jc w:val="both"/>
        <w:rPr>
          <w:rFonts w:ascii="Century Gothic" w:hAnsi="Century Gothic" w:cs="Arial"/>
          <w:bCs/>
          <w:lang w:val="es-ES"/>
        </w:rPr>
      </w:pPr>
      <w:r w:rsidRPr="00A041D2">
        <w:rPr>
          <w:rFonts w:ascii="Century Gothic" w:hAnsi="Century Gothic" w:cs="Arial"/>
          <w:bCs/>
          <w:lang w:val="es-ES"/>
        </w:rPr>
        <w:t>Gráfica. Cuenta corriente como % del PIB en Colombia 2019-2031</w:t>
      </w:r>
    </w:p>
    <w:p w14:paraId="53DC09CA" w14:textId="2397C701" w:rsidR="00D41530" w:rsidRPr="00A041D2" w:rsidRDefault="00D41530" w:rsidP="0069684E">
      <w:pPr>
        <w:spacing w:before="100" w:beforeAutospacing="1" w:after="100" w:afterAutospacing="1"/>
        <w:jc w:val="center"/>
        <w:rPr>
          <w:rFonts w:ascii="Century Gothic" w:hAnsi="Century Gothic" w:cs="Arial"/>
          <w:bCs/>
          <w:lang w:val="es-ES"/>
        </w:rPr>
      </w:pPr>
      <w:r w:rsidRPr="00A041D2">
        <w:rPr>
          <w:rFonts w:ascii="Century Gothic" w:hAnsi="Century Gothic" w:cs="Arial"/>
          <w:bCs/>
          <w:noProof/>
          <w:lang w:val="es-ES"/>
        </w:rPr>
        <w:drawing>
          <wp:inline distT="0" distB="0" distL="0" distR="0" wp14:anchorId="10BA309B" wp14:editId="027466B3">
            <wp:extent cx="4132595" cy="2297289"/>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20-09-28 at 3.07.12 PM.png"/>
                    <pic:cNvPicPr/>
                  </pic:nvPicPr>
                  <pic:blipFill>
                    <a:blip r:embed="rId13">
                      <a:extLst>
                        <a:ext uri="{28A0092B-C50C-407E-A947-70E740481C1C}">
                          <a14:useLocalDpi xmlns:a14="http://schemas.microsoft.com/office/drawing/2010/main" val="0"/>
                        </a:ext>
                      </a:extLst>
                    </a:blip>
                    <a:stretch>
                      <a:fillRect/>
                    </a:stretch>
                  </pic:blipFill>
                  <pic:spPr>
                    <a:xfrm>
                      <a:off x="0" y="0"/>
                      <a:ext cx="4144107" cy="2303688"/>
                    </a:xfrm>
                    <a:prstGeom prst="rect">
                      <a:avLst/>
                    </a:prstGeom>
                  </pic:spPr>
                </pic:pic>
              </a:graphicData>
            </a:graphic>
          </wp:inline>
        </w:drawing>
      </w:r>
    </w:p>
    <w:p w14:paraId="4B894D34" w14:textId="2CBBA663" w:rsidR="009450B3" w:rsidRPr="00A041D2" w:rsidRDefault="009450B3" w:rsidP="008628E5">
      <w:pPr>
        <w:spacing w:before="100" w:beforeAutospacing="1" w:after="100" w:afterAutospacing="1"/>
        <w:jc w:val="both"/>
        <w:rPr>
          <w:rFonts w:ascii="Century Gothic" w:hAnsi="Century Gothic" w:cs="Arial"/>
          <w:bCs/>
          <w:lang w:val="es-ES"/>
        </w:rPr>
      </w:pPr>
      <w:r w:rsidRPr="00A041D2">
        <w:rPr>
          <w:rFonts w:ascii="Century Gothic" w:hAnsi="Century Gothic" w:cs="Arial"/>
          <w:bCs/>
          <w:lang w:val="es-ES"/>
        </w:rPr>
        <w:t xml:space="preserve">Esto es muy importante, </w:t>
      </w:r>
      <w:r w:rsidR="0067057A" w:rsidRPr="00A041D2">
        <w:rPr>
          <w:rFonts w:ascii="Century Gothic" w:hAnsi="Century Gothic" w:cs="Arial"/>
          <w:bCs/>
          <w:lang w:val="es-ES"/>
        </w:rPr>
        <w:t>porque</w:t>
      </w:r>
      <w:r w:rsidR="00F95876" w:rsidRPr="00A041D2">
        <w:rPr>
          <w:rFonts w:ascii="Century Gothic" w:hAnsi="Century Gothic" w:cs="Arial"/>
          <w:bCs/>
          <w:lang w:val="es-ES"/>
        </w:rPr>
        <w:t xml:space="preserve"> según</w:t>
      </w:r>
      <w:r w:rsidR="0067057A" w:rsidRPr="00A041D2">
        <w:rPr>
          <w:rFonts w:ascii="Century Gothic" w:hAnsi="Century Gothic" w:cs="Arial"/>
          <w:bCs/>
          <w:lang w:val="es-ES"/>
        </w:rPr>
        <w:t xml:space="preserve"> las proyecciones del Gobierno se busca reducir el consumo de bienes importados </w:t>
      </w:r>
      <w:r w:rsidRPr="00A041D2">
        <w:rPr>
          <w:rFonts w:ascii="Century Gothic" w:hAnsi="Century Gothic" w:cs="Arial"/>
          <w:bCs/>
          <w:lang w:val="es-ES"/>
        </w:rPr>
        <w:t xml:space="preserve">y no </w:t>
      </w:r>
      <w:r w:rsidR="00F95876" w:rsidRPr="00A041D2">
        <w:rPr>
          <w:rFonts w:ascii="Century Gothic" w:hAnsi="Century Gothic" w:cs="Arial"/>
          <w:bCs/>
          <w:lang w:val="es-ES"/>
        </w:rPr>
        <w:t>se proyecta una mejora en</w:t>
      </w:r>
      <w:r w:rsidRPr="00A041D2">
        <w:rPr>
          <w:rFonts w:ascii="Century Gothic" w:hAnsi="Century Gothic" w:cs="Arial"/>
          <w:bCs/>
          <w:lang w:val="es-ES"/>
        </w:rPr>
        <w:t xml:space="preserve"> la situación </w:t>
      </w:r>
      <w:r w:rsidR="0067057A" w:rsidRPr="00A041D2">
        <w:rPr>
          <w:rFonts w:ascii="Century Gothic" w:hAnsi="Century Gothic" w:cs="Arial"/>
          <w:bCs/>
          <w:lang w:val="es-ES"/>
        </w:rPr>
        <w:t>de exportación</w:t>
      </w:r>
      <w:r w:rsidRPr="00A041D2">
        <w:rPr>
          <w:rFonts w:ascii="Century Gothic" w:hAnsi="Century Gothic" w:cs="Arial"/>
          <w:bCs/>
          <w:lang w:val="es-ES"/>
        </w:rPr>
        <w:t>. Incluso, para el año 2019 las exportaciones tradicionales y no tradicionales representaban el 13,1% del PIB, este mismo valor representaría 11,7% en 2031. Es decir, se proyecta exportar menos como proporción del PIB.</w:t>
      </w:r>
      <w:r w:rsidR="006F604A" w:rsidRPr="00A041D2">
        <w:rPr>
          <w:rFonts w:ascii="Century Gothic" w:hAnsi="Century Gothic" w:cs="Arial"/>
          <w:bCs/>
          <w:lang w:val="es-ES"/>
        </w:rPr>
        <w:t xml:space="preserve"> ¿Cómo va a pagar el Gobierno Nacional la deuda externa que se quiere contraer con el FMI si no se proyecta un aumento de las exportaciones?</w:t>
      </w:r>
    </w:p>
    <w:p w14:paraId="35EAEA8C" w14:textId="389C790B" w:rsidR="007141A7" w:rsidRPr="00A041D2" w:rsidRDefault="007141A7" w:rsidP="008628E5">
      <w:pPr>
        <w:spacing w:before="100" w:beforeAutospacing="1" w:after="100" w:afterAutospacing="1"/>
        <w:jc w:val="both"/>
        <w:rPr>
          <w:rFonts w:ascii="Century Gothic" w:hAnsi="Century Gothic" w:cs="Arial"/>
          <w:bCs/>
          <w:lang w:val="es-ES"/>
        </w:rPr>
      </w:pPr>
      <w:r w:rsidRPr="00A041D2">
        <w:rPr>
          <w:rFonts w:ascii="Century Gothic" w:hAnsi="Century Gothic" w:cs="Arial"/>
          <w:bCs/>
          <w:lang w:val="es-ES"/>
        </w:rPr>
        <w:t>Esta situación es muy preocupante, porque el déficit externo no se va a reducir con un aumento de la producción sino por un recorte del consumo</w:t>
      </w:r>
      <w:r w:rsidR="00967BC5" w:rsidRPr="00A041D2">
        <w:rPr>
          <w:rFonts w:ascii="Century Gothic" w:hAnsi="Century Gothic" w:cs="Arial"/>
          <w:bCs/>
          <w:lang w:val="es-ES"/>
        </w:rPr>
        <w:t>,</w:t>
      </w:r>
      <w:r w:rsidRPr="00A041D2">
        <w:rPr>
          <w:rFonts w:ascii="Century Gothic" w:hAnsi="Century Gothic" w:cs="Arial"/>
          <w:bCs/>
          <w:lang w:val="es-ES"/>
        </w:rPr>
        <w:t xml:space="preserve"> esto implica entonces que el déficit fiscal</w:t>
      </w:r>
      <w:r w:rsidR="00865610">
        <w:rPr>
          <w:rFonts w:ascii="Century Gothic" w:hAnsi="Century Gothic" w:cs="Arial"/>
          <w:bCs/>
          <w:lang w:val="es-ES"/>
        </w:rPr>
        <w:t xml:space="preserve"> también</w:t>
      </w:r>
      <w:r w:rsidRPr="00A041D2">
        <w:rPr>
          <w:rFonts w:ascii="Century Gothic" w:hAnsi="Century Gothic" w:cs="Arial"/>
          <w:bCs/>
          <w:lang w:val="es-ES"/>
        </w:rPr>
        <w:t xml:space="preserve"> será muy difícil de reducir, porque un país que no aumenta su capacidad productiva no podrá hacer frente a sus obligaciones financieras. </w:t>
      </w:r>
      <w:r w:rsidR="00CF65AB">
        <w:rPr>
          <w:rFonts w:ascii="Century Gothic" w:hAnsi="Century Gothic" w:cs="Arial"/>
          <w:bCs/>
          <w:lang w:val="es-ES"/>
        </w:rPr>
        <w:t xml:space="preserve">Además, esto implica que el Estado se va a endeudar para financiar su déficit en balanza externa. Es decir, se endeuda para comprar bienes en otros países, lo que tampoco permite generar empleo ni crecimiento interno. </w:t>
      </w:r>
      <w:r w:rsidR="00123984" w:rsidRPr="00A041D2">
        <w:rPr>
          <w:rFonts w:ascii="Century Gothic" w:hAnsi="Century Gothic" w:cs="Arial"/>
          <w:bCs/>
          <w:lang w:val="es-ES"/>
        </w:rPr>
        <w:t xml:space="preserve">Se </w:t>
      </w:r>
      <w:r w:rsidR="00E01A20">
        <w:rPr>
          <w:rFonts w:ascii="Century Gothic" w:hAnsi="Century Gothic" w:cs="Arial"/>
          <w:bCs/>
          <w:lang w:val="es-ES"/>
        </w:rPr>
        <w:t>puede concluir que los</w:t>
      </w:r>
      <w:r w:rsidR="00123984" w:rsidRPr="00A041D2">
        <w:rPr>
          <w:rFonts w:ascii="Century Gothic" w:hAnsi="Century Gothic" w:cs="Arial"/>
          <w:bCs/>
          <w:lang w:val="es-ES"/>
        </w:rPr>
        <w:t xml:space="preserve"> déficits gemelos que ha tenido Colombia en los últimos años</w:t>
      </w:r>
      <w:r w:rsidR="00E01A20">
        <w:rPr>
          <w:rFonts w:ascii="Century Gothic" w:hAnsi="Century Gothic" w:cs="Arial"/>
          <w:bCs/>
          <w:lang w:val="es-ES"/>
        </w:rPr>
        <w:t xml:space="preserve"> no se van a curar ni a reducir, sino que se van a agravar. </w:t>
      </w:r>
      <w:r w:rsidR="00123984" w:rsidRPr="00A041D2">
        <w:rPr>
          <w:rFonts w:ascii="Century Gothic" w:hAnsi="Century Gothic" w:cs="Arial"/>
          <w:bCs/>
          <w:lang w:val="es-ES"/>
        </w:rPr>
        <w:t xml:space="preserve"> </w:t>
      </w:r>
    </w:p>
    <w:p w14:paraId="790FD7BE" w14:textId="6FD481DE" w:rsidR="0067057A" w:rsidRPr="00A041D2" w:rsidRDefault="0067057A" w:rsidP="008628E5">
      <w:pPr>
        <w:spacing w:before="100" w:beforeAutospacing="1" w:after="100" w:afterAutospacing="1"/>
        <w:jc w:val="both"/>
        <w:rPr>
          <w:rFonts w:ascii="Century Gothic" w:hAnsi="Century Gothic" w:cs="Arial"/>
          <w:bCs/>
          <w:lang w:val="es-ES"/>
        </w:rPr>
      </w:pPr>
    </w:p>
    <w:p w14:paraId="740E2199" w14:textId="453D52A0" w:rsidR="0067057A" w:rsidRPr="00A041D2" w:rsidRDefault="0067057A" w:rsidP="008628E5">
      <w:pPr>
        <w:spacing w:before="100" w:beforeAutospacing="1" w:after="100" w:afterAutospacing="1"/>
        <w:jc w:val="both"/>
        <w:rPr>
          <w:rFonts w:ascii="Century Gothic" w:hAnsi="Century Gothic" w:cs="Arial"/>
          <w:bCs/>
          <w:lang w:val="es-ES"/>
        </w:rPr>
      </w:pPr>
      <w:r w:rsidRPr="00A041D2">
        <w:rPr>
          <w:rFonts w:ascii="Century Gothic" w:hAnsi="Century Gothic" w:cs="Arial"/>
          <w:bCs/>
          <w:lang w:val="es-ES"/>
        </w:rPr>
        <w:t xml:space="preserve">Ahora bien, para analizar la sostenibilidad de la deuda y sus impactos en el desarrollo del país se deben analizar otras variables como ingreso y gasto público. </w:t>
      </w:r>
    </w:p>
    <w:p w14:paraId="682AB365" w14:textId="6A446F84" w:rsidR="00325927" w:rsidRPr="00A041D2" w:rsidRDefault="00325927" w:rsidP="008628E5">
      <w:pPr>
        <w:spacing w:before="100" w:beforeAutospacing="1" w:after="100" w:afterAutospacing="1"/>
        <w:jc w:val="both"/>
        <w:rPr>
          <w:rFonts w:ascii="Century Gothic" w:hAnsi="Century Gothic" w:cs="Arial"/>
          <w:bCs/>
          <w:lang w:val="es-ES"/>
        </w:rPr>
      </w:pPr>
      <w:r w:rsidRPr="00A041D2">
        <w:rPr>
          <w:rFonts w:ascii="Century Gothic" w:hAnsi="Century Gothic" w:cs="Arial"/>
          <w:bCs/>
          <w:lang w:val="es-ES"/>
        </w:rPr>
        <w:t>Cuadro. Proyección de ingresos y gastos entre 2019 y 2031</w:t>
      </w:r>
    </w:p>
    <w:p w14:paraId="1F651A9A" w14:textId="4A7BA4E3" w:rsidR="009450B3" w:rsidRPr="00A041D2" w:rsidRDefault="009450B3" w:rsidP="008628E5">
      <w:pPr>
        <w:spacing w:before="100" w:beforeAutospacing="1" w:after="100" w:afterAutospacing="1"/>
        <w:jc w:val="both"/>
        <w:rPr>
          <w:rFonts w:ascii="Century Gothic" w:hAnsi="Century Gothic" w:cs="Arial"/>
          <w:bCs/>
          <w:lang w:val="es-ES"/>
        </w:rPr>
      </w:pPr>
      <w:r w:rsidRPr="00A041D2">
        <w:rPr>
          <w:rFonts w:ascii="Century Gothic" w:hAnsi="Century Gothic" w:cs="Arial"/>
          <w:bCs/>
          <w:noProof/>
          <w:lang w:val="es-ES"/>
        </w:rPr>
        <w:drawing>
          <wp:inline distT="0" distB="0" distL="0" distR="0" wp14:anchorId="0471724F" wp14:editId="26B00261">
            <wp:extent cx="5612130" cy="3171190"/>
            <wp:effectExtent l="0" t="0" r="127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20-09-28 at 3.35.45 PM.png"/>
                    <pic:cNvPicPr/>
                  </pic:nvPicPr>
                  <pic:blipFill>
                    <a:blip r:embed="rId14">
                      <a:extLst>
                        <a:ext uri="{28A0092B-C50C-407E-A947-70E740481C1C}">
                          <a14:useLocalDpi xmlns:a14="http://schemas.microsoft.com/office/drawing/2010/main" val="0"/>
                        </a:ext>
                      </a:extLst>
                    </a:blip>
                    <a:stretch>
                      <a:fillRect/>
                    </a:stretch>
                  </pic:blipFill>
                  <pic:spPr>
                    <a:xfrm>
                      <a:off x="0" y="0"/>
                      <a:ext cx="5612130" cy="3171190"/>
                    </a:xfrm>
                    <a:prstGeom prst="rect">
                      <a:avLst/>
                    </a:prstGeom>
                  </pic:spPr>
                </pic:pic>
              </a:graphicData>
            </a:graphic>
          </wp:inline>
        </w:drawing>
      </w:r>
    </w:p>
    <w:p w14:paraId="3AD231F9" w14:textId="2CD42615" w:rsidR="00687529" w:rsidRPr="00A041D2" w:rsidRDefault="00325927" w:rsidP="008628E5">
      <w:pPr>
        <w:spacing w:before="100" w:beforeAutospacing="1" w:after="100" w:afterAutospacing="1"/>
        <w:jc w:val="both"/>
        <w:rPr>
          <w:rFonts w:ascii="Century Gothic" w:hAnsi="Century Gothic" w:cs="Arial"/>
          <w:bCs/>
          <w:lang w:val="es-ES"/>
        </w:rPr>
      </w:pPr>
      <w:r w:rsidRPr="00A041D2">
        <w:rPr>
          <w:rFonts w:ascii="Century Gothic" w:hAnsi="Century Gothic" w:cs="Arial"/>
          <w:bCs/>
          <w:lang w:val="es-ES"/>
        </w:rPr>
        <w:t xml:space="preserve">En esta </w:t>
      </w:r>
      <w:r w:rsidR="0067057A" w:rsidRPr="00A041D2">
        <w:rPr>
          <w:rFonts w:ascii="Century Gothic" w:hAnsi="Century Gothic" w:cs="Arial"/>
          <w:bCs/>
          <w:lang w:val="es-ES"/>
        </w:rPr>
        <w:t>tabla</w:t>
      </w:r>
      <w:r w:rsidRPr="00A041D2">
        <w:rPr>
          <w:rFonts w:ascii="Century Gothic" w:hAnsi="Century Gothic" w:cs="Arial"/>
          <w:bCs/>
          <w:lang w:val="es-ES"/>
        </w:rPr>
        <w:t xml:space="preserve"> se </w:t>
      </w:r>
      <w:r w:rsidR="0067057A" w:rsidRPr="00A041D2">
        <w:rPr>
          <w:rFonts w:ascii="Century Gothic" w:hAnsi="Century Gothic" w:cs="Arial"/>
          <w:bCs/>
          <w:lang w:val="es-ES"/>
        </w:rPr>
        <w:t>aprecia</w:t>
      </w:r>
      <w:r w:rsidRPr="00A041D2">
        <w:rPr>
          <w:rFonts w:ascii="Century Gothic" w:hAnsi="Century Gothic" w:cs="Arial"/>
          <w:bCs/>
          <w:lang w:val="es-ES"/>
        </w:rPr>
        <w:t xml:space="preserve"> que los ingresos totales de la Nación </w:t>
      </w:r>
      <w:r w:rsidR="0067057A" w:rsidRPr="00A041D2">
        <w:rPr>
          <w:rFonts w:ascii="Century Gothic" w:hAnsi="Century Gothic" w:cs="Arial"/>
          <w:bCs/>
          <w:lang w:val="es-ES"/>
        </w:rPr>
        <w:t xml:space="preserve">van </w:t>
      </w:r>
      <w:r w:rsidRPr="00A041D2">
        <w:rPr>
          <w:rFonts w:ascii="Century Gothic" w:hAnsi="Century Gothic" w:cs="Arial"/>
          <w:bCs/>
          <w:lang w:val="es-ES"/>
        </w:rPr>
        <w:t>a crecer a partir de</w:t>
      </w:r>
      <w:r w:rsidR="0067057A" w:rsidRPr="00A041D2">
        <w:rPr>
          <w:rFonts w:ascii="Century Gothic" w:hAnsi="Century Gothic" w:cs="Arial"/>
          <w:bCs/>
          <w:lang w:val="es-ES"/>
        </w:rPr>
        <w:t xml:space="preserve">l año </w:t>
      </w:r>
      <w:r w:rsidRPr="00A041D2">
        <w:rPr>
          <w:rFonts w:ascii="Century Gothic" w:hAnsi="Century Gothic" w:cs="Arial"/>
          <w:bCs/>
          <w:lang w:val="es-ES"/>
        </w:rPr>
        <w:t xml:space="preserve">2022. </w:t>
      </w:r>
      <w:r w:rsidR="00585DF6" w:rsidRPr="00A041D2">
        <w:rPr>
          <w:rFonts w:ascii="Century Gothic" w:hAnsi="Century Gothic" w:cs="Arial"/>
          <w:bCs/>
          <w:lang w:val="es-ES"/>
        </w:rPr>
        <w:t xml:space="preserve">De la siguiente gráfica se deduce que desde el año 2022 habrá un </w:t>
      </w:r>
      <w:r w:rsidR="006F604A" w:rsidRPr="00A041D2">
        <w:rPr>
          <w:rFonts w:ascii="Century Gothic" w:hAnsi="Century Gothic" w:cs="Arial"/>
          <w:bCs/>
          <w:lang w:val="es-ES"/>
        </w:rPr>
        <w:t>incremento</w:t>
      </w:r>
      <w:r w:rsidR="00585DF6" w:rsidRPr="00A041D2">
        <w:rPr>
          <w:rFonts w:ascii="Century Gothic" w:hAnsi="Century Gothic" w:cs="Arial"/>
          <w:bCs/>
          <w:lang w:val="es-ES"/>
        </w:rPr>
        <w:t xml:space="preserve"> del recaudo de 15,6% a 17,4% como porcentaje del PIB. </w:t>
      </w:r>
      <w:r w:rsidRPr="00A041D2">
        <w:rPr>
          <w:rFonts w:ascii="Century Gothic" w:hAnsi="Century Gothic" w:cs="Arial"/>
          <w:bCs/>
          <w:lang w:val="es-ES"/>
        </w:rPr>
        <w:t xml:space="preserve">Esto puede darse por </w:t>
      </w:r>
      <w:r w:rsidR="006F604A" w:rsidRPr="00A041D2">
        <w:rPr>
          <w:rFonts w:ascii="Century Gothic" w:hAnsi="Century Gothic" w:cs="Arial"/>
          <w:bCs/>
          <w:lang w:val="es-ES"/>
        </w:rPr>
        <w:t>tres</w:t>
      </w:r>
      <w:r w:rsidRPr="00A041D2">
        <w:rPr>
          <w:rFonts w:ascii="Century Gothic" w:hAnsi="Century Gothic" w:cs="Arial"/>
          <w:bCs/>
          <w:lang w:val="es-ES"/>
        </w:rPr>
        <w:t xml:space="preserve"> escenarios, primero por una recuperación económica </w:t>
      </w:r>
      <w:r w:rsidR="00585DF6" w:rsidRPr="00A041D2">
        <w:rPr>
          <w:rFonts w:ascii="Century Gothic" w:hAnsi="Century Gothic" w:cs="Arial"/>
          <w:bCs/>
          <w:lang w:val="es-ES"/>
        </w:rPr>
        <w:t xml:space="preserve">excepcional </w:t>
      </w:r>
      <w:r w:rsidRPr="00A041D2">
        <w:rPr>
          <w:rFonts w:ascii="Century Gothic" w:hAnsi="Century Gothic" w:cs="Arial"/>
          <w:bCs/>
          <w:lang w:val="es-ES"/>
        </w:rPr>
        <w:t>que gener</w:t>
      </w:r>
      <w:r w:rsidR="000B5977" w:rsidRPr="00A041D2">
        <w:rPr>
          <w:rFonts w:ascii="Century Gothic" w:hAnsi="Century Gothic" w:cs="Arial"/>
          <w:bCs/>
          <w:lang w:val="es-ES"/>
        </w:rPr>
        <w:t>e</w:t>
      </w:r>
      <w:r w:rsidR="00585DF6" w:rsidRPr="00A041D2">
        <w:rPr>
          <w:rFonts w:ascii="Century Gothic" w:hAnsi="Century Gothic" w:cs="Arial"/>
          <w:bCs/>
          <w:lang w:val="es-ES"/>
        </w:rPr>
        <w:t xml:space="preserve"> 20 billones de pesos adicionales de </w:t>
      </w:r>
      <w:r w:rsidRPr="00A041D2">
        <w:rPr>
          <w:rFonts w:ascii="Century Gothic" w:hAnsi="Century Gothic" w:cs="Arial"/>
          <w:bCs/>
          <w:lang w:val="es-ES"/>
        </w:rPr>
        <w:t>ingresos en el país</w:t>
      </w:r>
      <w:r w:rsidR="002D61D2" w:rsidRPr="00A041D2">
        <w:rPr>
          <w:rFonts w:ascii="Century Gothic" w:hAnsi="Century Gothic" w:cs="Arial"/>
          <w:bCs/>
          <w:lang w:val="es-ES"/>
        </w:rPr>
        <w:t xml:space="preserve">. Segundo, </w:t>
      </w:r>
      <w:r w:rsidRPr="00A041D2">
        <w:rPr>
          <w:rFonts w:ascii="Century Gothic" w:hAnsi="Century Gothic" w:cs="Arial"/>
          <w:bCs/>
          <w:lang w:val="es-ES"/>
        </w:rPr>
        <w:t>por una reforma tributaria</w:t>
      </w:r>
      <w:r w:rsidR="00585DF6" w:rsidRPr="00A041D2">
        <w:rPr>
          <w:rFonts w:ascii="Century Gothic" w:hAnsi="Century Gothic" w:cs="Arial"/>
          <w:bCs/>
          <w:lang w:val="es-ES"/>
        </w:rPr>
        <w:t xml:space="preserve"> o </w:t>
      </w:r>
      <w:r w:rsidR="002D61D2" w:rsidRPr="00A041D2">
        <w:rPr>
          <w:rFonts w:ascii="Century Gothic" w:hAnsi="Century Gothic" w:cs="Arial"/>
          <w:bCs/>
          <w:lang w:val="es-ES"/>
        </w:rPr>
        <w:t xml:space="preserve">tercero, </w:t>
      </w:r>
      <w:r w:rsidR="00585DF6" w:rsidRPr="00A041D2">
        <w:rPr>
          <w:rFonts w:ascii="Century Gothic" w:hAnsi="Century Gothic" w:cs="Arial"/>
          <w:bCs/>
          <w:lang w:val="es-ES"/>
        </w:rPr>
        <w:t xml:space="preserve">por </w:t>
      </w:r>
      <w:r w:rsidR="002D61D2" w:rsidRPr="00A041D2">
        <w:rPr>
          <w:rFonts w:ascii="Century Gothic" w:hAnsi="Century Gothic" w:cs="Arial"/>
          <w:bCs/>
          <w:lang w:val="es-ES"/>
        </w:rPr>
        <w:t xml:space="preserve">un </w:t>
      </w:r>
      <w:r w:rsidR="00585DF6" w:rsidRPr="00A041D2">
        <w:rPr>
          <w:rFonts w:ascii="Century Gothic" w:hAnsi="Century Gothic" w:cs="Arial"/>
          <w:bCs/>
          <w:lang w:val="es-ES"/>
        </w:rPr>
        <w:t>mayor endeudamiento. Es poco probable, por no decir imposible, que de un año a otro se aumente el recaudo tributario en 1,8</w:t>
      </w:r>
      <w:r w:rsidR="002D61D2" w:rsidRPr="00A041D2">
        <w:rPr>
          <w:rFonts w:ascii="Century Gothic" w:hAnsi="Century Gothic" w:cs="Arial"/>
          <w:bCs/>
          <w:lang w:val="es-ES"/>
        </w:rPr>
        <w:t xml:space="preserve"> puntos porcentuales</w:t>
      </w:r>
      <w:r w:rsidR="00585DF6" w:rsidRPr="00A041D2">
        <w:rPr>
          <w:rFonts w:ascii="Century Gothic" w:hAnsi="Century Gothic" w:cs="Arial"/>
          <w:bCs/>
          <w:lang w:val="es-ES"/>
        </w:rPr>
        <w:t xml:space="preserve"> del PIB, por lo que el aumento de ingresos del Gobierno deberá ser por una reforma tributaria y/o aumento de ingresos de capital vía deuda pública.</w:t>
      </w:r>
      <w:r w:rsidRPr="00A041D2">
        <w:rPr>
          <w:rFonts w:ascii="Century Gothic" w:hAnsi="Century Gothic" w:cs="Arial"/>
          <w:bCs/>
          <w:lang w:val="es-ES"/>
        </w:rPr>
        <w:t xml:space="preserve"> </w:t>
      </w:r>
    </w:p>
    <w:p w14:paraId="793758C6" w14:textId="77777777" w:rsidR="00585DF6" w:rsidRPr="00A041D2" w:rsidRDefault="00585DF6" w:rsidP="008628E5">
      <w:pPr>
        <w:spacing w:before="100" w:beforeAutospacing="1" w:after="100" w:afterAutospacing="1"/>
        <w:jc w:val="both"/>
        <w:rPr>
          <w:rFonts w:ascii="Century Gothic" w:hAnsi="Century Gothic" w:cs="Arial"/>
          <w:bCs/>
          <w:lang w:val="es-ES"/>
        </w:rPr>
      </w:pPr>
    </w:p>
    <w:p w14:paraId="66532759" w14:textId="1F196B35" w:rsidR="00687529" w:rsidRPr="00A041D2" w:rsidRDefault="00687529" w:rsidP="008628E5">
      <w:pPr>
        <w:spacing w:before="100" w:beforeAutospacing="1" w:after="100" w:afterAutospacing="1"/>
        <w:jc w:val="both"/>
        <w:rPr>
          <w:rFonts w:ascii="Century Gothic" w:hAnsi="Century Gothic" w:cs="Arial"/>
          <w:bCs/>
          <w:lang w:val="es-ES"/>
        </w:rPr>
      </w:pPr>
    </w:p>
    <w:p w14:paraId="6B8950C9" w14:textId="0DED2B67" w:rsidR="00687529" w:rsidRPr="00A041D2" w:rsidRDefault="00687529" w:rsidP="008628E5">
      <w:pPr>
        <w:spacing w:before="100" w:beforeAutospacing="1" w:after="100" w:afterAutospacing="1"/>
        <w:jc w:val="both"/>
        <w:rPr>
          <w:rFonts w:ascii="Century Gothic" w:hAnsi="Century Gothic" w:cs="Arial"/>
          <w:bCs/>
          <w:lang w:val="es-ES"/>
        </w:rPr>
      </w:pPr>
    </w:p>
    <w:p w14:paraId="5EA6D5F9" w14:textId="00EDB36F" w:rsidR="00687529" w:rsidRPr="00A041D2" w:rsidRDefault="00687529" w:rsidP="008628E5">
      <w:pPr>
        <w:spacing w:before="100" w:beforeAutospacing="1" w:after="100" w:afterAutospacing="1"/>
        <w:jc w:val="both"/>
        <w:rPr>
          <w:rFonts w:ascii="Century Gothic" w:hAnsi="Century Gothic" w:cs="Arial"/>
          <w:bCs/>
          <w:lang w:val="es-ES"/>
        </w:rPr>
      </w:pPr>
      <w:r w:rsidRPr="00A041D2">
        <w:rPr>
          <w:rFonts w:ascii="Century Gothic" w:hAnsi="Century Gothic" w:cs="Arial"/>
          <w:bCs/>
          <w:lang w:val="es-ES"/>
        </w:rPr>
        <w:t>Gráfica. Ingresos del Gobierno 2018-2031.</w:t>
      </w:r>
    </w:p>
    <w:p w14:paraId="5A21F786" w14:textId="3A09590E" w:rsidR="00687529" w:rsidRPr="00A041D2" w:rsidRDefault="00687529" w:rsidP="008628E5">
      <w:pPr>
        <w:spacing w:before="100" w:beforeAutospacing="1" w:after="100" w:afterAutospacing="1"/>
        <w:jc w:val="both"/>
        <w:rPr>
          <w:rFonts w:ascii="Century Gothic" w:hAnsi="Century Gothic" w:cs="Arial"/>
          <w:bCs/>
          <w:lang w:val="es-ES"/>
        </w:rPr>
      </w:pPr>
      <w:r w:rsidRPr="00A041D2">
        <w:rPr>
          <w:rFonts w:ascii="Century Gothic" w:hAnsi="Century Gothic" w:cs="Arial"/>
          <w:bCs/>
          <w:noProof/>
          <w:lang w:val="es-ES"/>
        </w:rPr>
        <w:drawing>
          <wp:inline distT="0" distB="0" distL="0" distR="0" wp14:anchorId="083EA12D" wp14:editId="213FB329">
            <wp:extent cx="5612130" cy="2770505"/>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20-09-28 at 4.36.46 PM.png"/>
                    <pic:cNvPicPr/>
                  </pic:nvPicPr>
                  <pic:blipFill>
                    <a:blip r:embed="rId15">
                      <a:extLst>
                        <a:ext uri="{28A0092B-C50C-407E-A947-70E740481C1C}">
                          <a14:useLocalDpi xmlns:a14="http://schemas.microsoft.com/office/drawing/2010/main" val="0"/>
                        </a:ext>
                      </a:extLst>
                    </a:blip>
                    <a:stretch>
                      <a:fillRect/>
                    </a:stretch>
                  </pic:blipFill>
                  <pic:spPr>
                    <a:xfrm>
                      <a:off x="0" y="0"/>
                      <a:ext cx="5612130" cy="2770505"/>
                    </a:xfrm>
                    <a:prstGeom prst="rect">
                      <a:avLst/>
                    </a:prstGeom>
                  </pic:spPr>
                </pic:pic>
              </a:graphicData>
            </a:graphic>
          </wp:inline>
        </w:drawing>
      </w:r>
    </w:p>
    <w:p w14:paraId="011B65B0" w14:textId="6F0739AA" w:rsidR="002D61D2" w:rsidRPr="00A041D2" w:rsidRDefault="0067057A" w:rsidP="008628E5">
      <w:pPr>
        <w:spacing w:before="100" w:beforeAutospacing="1" w:after="100" w:afterAutospacing="1"/>
        <w:jc w:val="both"/>
        <w:rPr>
          <w:rFonts w:ascii="Century Gothic" w:hAnsi="Century Gothic" w:cs="Arial"/>
          <w:bCs/>
          <w:lang w:val="es-ES"/>
        </w:rPr>
      </w:pPr>
      <w:r w:rsidRPr="00A041D2">
        <w:rPr>
          <w:rFonts w:ascii="Century Gothic" w:hAnsi="Century Gothic" w:cs="Arial"/>
          <w:bCs/>
          <w:lang w:val="es-ES"/>
        </w:rPr>
        <w:t xml:space="preserve">Respecto al gasto público, existe </w:t>
      </w:r>
      <w:r w:rsidR="00325927" w:rsidRPr="00A041D2">
        <w:rPr>
          <w:rFonts w:ascii="Century Gothic" w:hAnsi="Century Gothic" w:cs="Arial"/>
          <w:bCs/>
          <w:lang w:val="es-ES"/>
        </w:rPr>
        <w:t xml:space="preserve">una tendencia decreciente </w:t>
      </w:r>
      <w:r w:rsidR="00DA7BCA" w:rsidRPr="00A041D2">
        <w:rPr>
          <w:rFonts w:ascii="Century Gothic" w:hAnsi="Century Gothic" w:cs="Arial"/>
          <w:bCs/>
          <w:lang w:val="es-ES"/>
        </w:rPr>
        <w:t xml:space="preserve">pasando de 20,7% </w:t>
      </w:r>
      <w:r w:rsidR="00687529" w:rsidRPr="00A041D2">
        <w:rPr>
          <w:rFonts w:ascii="Century Gothic" w:hAnsi="Century Gothic" w:cs="Arial"/>
          <w:bCs/>
          <w:lang w:val="es-ES"/>
        </w:rPr>
        <w:t xml:space="preserve">del PIB </w:t>
      </w:r>
      <w:r w:rsidR="00DA7BCA" w:rsidRPr="00A041D2">
        <w:rPr>
          <w:rFonts w:ascii="Century Gothic" w:hAnsi="Century Gothic" w:cs="Arial"/>
          <w:bCs/>
          <w:lang w:val="es-ES"/>
        </w:rPr>
        <w:t xml:space="preserve">en 2021 a 18,5% en 2031. </w:t>
      </w:r>
      <w:r w:rsidR="00687529" w:rsidRPr="00A041D2">
        <w:rPr>
          <w:rFonts w:ascii="Century Gothic" w:hAnsi="Century Gothic" w:cs="Arial"/>
          <w:bCs/>
          <w:lang w:val="es-ES"/>
        </w:rPr>
        <w:t xml:space="preserve">Es decir, se espera una contracción del gasto </w:t>
      </w:r>
      <w:r w:rsidR="00BC0A80" w:rsidRPr="00A041D2">
        <w:rPr>
          <w:rFonts w:ascii="Century Gothic" w:hAnsi="Century Gothic" w:cs="Arial"/>
          <w:bCs/>
          <w:lang w:val="es-ES"/>
        </w:rPr>
        <w:t xml:space="preserve">lo que se traduce en menos inversión en educación, salud, vías entre otros. </w:t>
      </w:r>
      <w:r w:rsidR="002D61D2" w:rsidRPr="00A041D2">
        <w:rPr>
          <w:rFonts w:ascii="Century Gothic" w:hAnsi="Century Gothic" w:cs="Arial"/>
          <w:bCs/>
          <w:lang w:val="es-ES"/>
        </w:rPr>
        <w:t xml:space="preserve">Esta situación es preocupante toda vez que la crisis tendrá efectos en el mediano plazo que solo se podrán reversar por medio de gasto público. Por ejemplo, el aumento en la pobreza solo podrá </w:t>
      </w:r>
      <w:r w:rsidR="006F604A" w:rsidRPr="00A041D2">
        <w:rPr>
          <w:rFonts w:ascii="Century Gothic" w:hAnsi="Century Gothic" w:cs="Arial"/>
          <w:bCs/>
          <w:lang w:val="es-ES"/>
        </w:rPr>
        <w:t>atenuarse</w:t>
      </w:r>
      <w:r w:rsidR="002D61D2" w:rsidRPr="00A041D2">
        <w:rPr>
          <w:rFonts w:ascii="Century Gothic" w:hAnsi="Century Gothic" w:cs="Arial"/>
          <w:bCs/>
          <w:lang w:val="es-ES"/>
        </w:rPr>
        <w:t xml:space="preserve"> por medio de políticas públicas financiadas con gasto público.</w:t>
      </w:r>
    </w:p>
    <w:p w14:paraId="3EF7208D" w14:textId="29A89C30" w:rsidR="002D61D2" w:rsidRPr="00A041D2" w:rsidRDefault="002D61D2" w:rsidP="008628E5">
      <w:pPr>
        <w:spacing w:before="100" w:beforeAutospacing="1" w:after="100" w:afterAutospacing="1"/>
        <w:jc w:val="both"/>
        <w:rPr>
          <w:rFonts w:ascii="Century Gothic" w:hAnsi="Century Gothic" w:cs="Arial"/>
          <w:bCs/>
          <w:lang w:val="es-ES"/>
        </w:rPr>
      </w:pPr>
    </w:p>
    <w:p w14:paraId="447CA48B" w14:textId="7CC150CB" w:rsidR="002D61D2" w:rsidRPr="00A041D2" w:rsidRDefault="002D61D2" w:rsidP="008628E5">
      <w:pPr>
        <w:spacing w:before="100" w:beforeAutospacing="1" w:after="100" w:afterAutospacing="1"/>
        <w:jc w:val="both"/>
        <w:rPr>
          <w:rFonts w:ascii="Century Gothic" w:hAnsi="Century Gothic" w:cs="Arial"/>
          <w:bCs/>
          <w:lang w:val="es-ES"/>
        </w:rPr>
      </w:pPr>
    </w:p>
    <w:p w14:paraId="1F4575F5" w14:textId="46CAF55F" w:rsidR="002D61D2" w:rsidRPr="00A041D2" w:rsidRDefault="002D61D2" w:rsidP="008628E5">
      <w:pPr>
        <w:spacing w:before="100" w:beforeAutospacing="1" w:after="100" w:afterAutospacing="1"/>
        <w:jc w:val="both"/>
        <w:rPr>
          <w:rFonts w:ascii="Century Gothic" w:hAnsi="Century Gothic" w:cs="Arial"/>
          <w:bCs/>
          <w:lang w:val="es-ES"/>
        </w:rPr>
      </w:pPr>
    </w:p>
    <w:p w14:paraId="73340E48" w14:textId="2F14D904" w:rsidR="002D61D2" w:rsidRPr="00A041D2" w:rsidRDefault="002D61D2" w:rsidP="008628E5">
      <w:pPr>
        <w:spacing w:before="100" w:beforeAutospacing="1" w:after="100" w:afterAutospacing="1"/>
        <w:jc w:val="both"/>
        <w:rPr>
          <w:rFonts w:ascii="Century Gothic" w:hAnsi="Century Gothic" w:cs="Arial"/>
          <w:bCs/>
          <w:lang w:val="es-ES"/>
        </w:rPr>
      </w:pPr>
    </w:p>
    <w:p w14:paraId="4DD647D8" w14:textId="308EF7B2" w:rsidR="002D61D2" w:rsidRPr="00A041D2" w:rsidRDefault="002D61D2" w:rsidP="008628E5">
      <w:pPr>
        <w:spacing w:before="100" w:beforeAutospacing="1" w:after="100" w:afterAutospacing="1"/>
        <w:jc w:val="both"/>
        <w:rPr>
          <w:rFonts w:ascii="Century Gothic" w:hAnsi="Century Gothic" w:cs="Arial"/>
          <w:bCs/>
          <w:lang w:val="es-ES"/>
        </w:rPr>
      </w:pPr>
    </w:p>
    <w:p w14:paraId="77C1336A" w14:textId="49DE5BD9" w:rsidR="002D61D2" w:rsidRPr="00A041D2" w:rsidRDefault="002D61D2" w:rsidP="008628E5">
      <w:pPr>
        <w:spacing w:before="100" w:beforeAutospacing="1" w:after="100" w:afterAutospacing="1"/>
        <w:jc w:val="both"/>
        <w:rPr>
          <w:rFonts w:ascii="Century Gothic" w:hAnsi="Century Gothic" w:cs="Arial"/>
          <w:bCs/>
          <w:lang w:val="es-ES"/>
        </w:rPr>
      </w:pPr>
    </w:p>
    <w:p w14:paraId="727674DD" w14:textId="77777777" w:rsidR="002D61D2" w:rsidRPr="00A041D2" w:rsidRDefault="002D61D2" w:rsidP="008628E5">
      <w:pPr>
        <w:spacing w:before="100" w:beforeAutospacing="1" w:after="100" w:afterAutospacing="1"/>
        <w:jc w:val="both"/>
        <w:rPr>
          <w:rFonts w:ascii="Century Gothic" w:hAnsi="Century Gothic" w:cs="Arial"/>
          <w:bCs/>
          <w:lang w:val="es-ES"/>
        </w:rPr>
      </w:pPr>
    </w:p>
    <w:p w14:paraId="444A83C7" w14:textId="40BBD65C" w:rsidR="00687529" w:rsidRPr="00A041D2" w:rsidRDefault="00687529" w:rsidP="008628E5">
      <w:pPr>
        <w:spacing w:before="100" w:beforeAutospacing="1" w:after="100" w:afterAutospacing="1"/>
        <w:jc w:val="both"/>
        <w:rPr>
          <w:rFonts w:ascii="Century Gothic" w:hAnsi="Century Gothic" w:cs="Arial"/>
          <w:bCs/>
          <w:lang w:val="es-ES"/>
        </w:rPr>
      </w:pPr>
      <w:r w:rsidRPr="00A041D2">
        <w:rPr>
          <w:rFonts w:ascii="Century Gothic" w:hAnsi="Century Gothic" w:cs="Arial"/>
          <w:bCs/>
          <w:lang w:val="es-ES"/>
        </w:rPr>
        <w:t>Consecuencia de una reducción del gasto y aumento del ingreso por medio de impuestos como el IVA, se genera</w:t>
      </w:r>
      <w:r w:rsidR="00BC0A80" w:rsidRPr="00A041D2">
        <w:rPr>
          <w:rFonts w:ascii="Century Gothic" w:hAnsi="Century Gothic" w:cs="Arial"/>
          <w:bCs/>
          <w:lang w:val="es-ES"/>
        </w:rPr>
        <w:t xml:space="preserve"> un</w:t>
      </w:r>
      <w:r w:rsidRPr="00A041D2">
        <w:rPr>
          <w:rFonts w:ascii="Century Gothic" w:hAnsi="Century Gothic" w:cs="Arial"/>
          <w:bCs/>
          <w:lang w:val="es-ES"/>
        </w:rPr>
        <w:t xml:space="preserve"> balance primario en el país.</w:t>
      </w:r>
    </w:p>
    <w:p w14:paraId="04E41FC4" w14:textId="1B5CAD39" w:rsidR="00687529" w:rsidRPr="00A041D2" w:rsidRDefault="00687529" w:rsidP="008628E5">
      <w:pPr>
        <w:spacing w:before="100" w:beforeAutospacing="1" w:after="100" w:afterAutospacing="1"/>
        <w:jc w:val="both"/>
        <w:rPr>
          <w:rFonts w:ascii="Century Gothic" w:hAnsi="Century Gothic" w:cs="Arial"/>
          <w:bCs/>
          <w:lang w:val="es-ES"/>
        </w:rPr>
      </w:pPr>
      <w:r w:rsidRPr="00A041D2">
        <w:rPr>
          <w:rFonts w:ascii="Century Gothic" w:hAnsi="Century Gothic" w:cs="Arial"/>
          <w:bCs/>
          <w:lang w:val="es-ES"/>
        </w:rPr>
        <w:t xml:space="preserve">Gráfica. Balance primario como porcentaje del PIB. 2018-2031 </w:t>
      </w:r>
    </w:p>
    <w:p w14:paraId="1D10470A" w14:textId="6575E56C" w:rsidR="00687529" w:rsidRPr="00A041D2" w:rsidRDefault="00687529" w:rsidP="00687529">
      <w:pPr>
        <w:spacing w:before="100" w:beforeAutospacing="1" w:after="100" w:afterAutospacing="1"/>
        <w:jc w:val="center"/>
        <w:rPr>
          <w:rFonts w:ascii="Century Gothic" w:hAnsi="Century Gothic" w:cs="Arial"/>
          <w:bCs/>
          <w:lang w:val="es-ES"/>
        </w:rPr>
      </w:pPr>
      <w:r w:rsidRPr="00A041D2">
        <w:rPr>
          <w:rFonts w:ascii="Century Gothic" w:hAnsi="Century Gothic" w:cs="Arial"/>
          <w:bCs/>
          <w:noProof/>
          <w:lang w:val="es-ES"/>
        </w:rPr>
        <w:drawing>
          <wp:inline distT="0" distB="0" distL="0" distR="0" wp14:anchorId="085998B1" wp14:editId="78940691">
            <wp:extent cx="4505564" cy="2116667"/>
            <wp:effectExtent l="0" t="0" r="3175"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20-09-28 at 4.38.32 PM.png"/>
                    <pic:cNvPicPr/>
                  </pic:nvPicPr>
                  <pic:blipFill>
                    <a:blip r:embed="rId16">
                      <a:extLst>
                        <a:ext uri="{28A0092B-C50C-407E-A947-70E740481C1C}">
                          <a14:useLocalDpi xmlns:a14="http://schemas.microsoft.com/office/drawing/2010/main" val="0"/>
                        </a:ext>
                      </a:extLst>
                    </a:blip>
                    <a:stretch>
                      <a:fillRect/>
                    </a:stretch>
                  </pic:blipFill>
                  <pic:spPr>
                    <a:xfrm>
                      <a:off x="0" y="0"/>
                      <a:ext cx="4507437" cy="2117547"/>
                    </a:xfrm>
                    <a:prstGeom prst="rect">
                      <a:avLst/>
                    </a:prstGeom>
                  </pic:spPr>
                </pic:pic>
              </a:graphicData>
            </a:graphic>
          </wp:inline>
        </w:drawing>
      </w:r>
    </w:p>
    <w:p w14:paraId="3A73D908" w14:textId="39CB6854" w:rsidR="00BC0A80" w:rsidRPr="00A041D2" w:rsidRDefault="00BC0A80" w:rsidP="00687529">
      <w:pPr>
        <w:spacing w:before="100" w:beforeAutospacing="1" w:after="100" w:afterAutospacing="1"/>
        <w:jc w:val="both"/>
        <w:rPr>
          <w:rFonts w:ascii="Century Gothic" w:hAnsi="Century Gothic" w:cs="Arial"/>
          <w:bCs/>
          <w:lang w:val="es-ES"/>
        </w:rPr>
      </w:pPr>
      <w:r w:rsidRPr="00A041D2">
        <w:rPr>
          <w:rFonts w:ascii="Century Gothic" w:hAnsi="Century Gothic" w:cs="Arial"/>
          <w:bCs/>
          <w:lang w:val="es-ES"/>
        </w:rPr>
        <w:t>Este balance primario, desde la perspectiva ortodoxa</w:t>
      </w:r>
      <w:r w:rsidR="002D61D2" w:rsidRPr="00A041D2">
        <w:rPr>
          <w:rFonts w:ascii="Century Gothic" w:hAnsi="Century Gothic" w:cs="Arial"/>
          <w:bCs/>
          <w:lang w:val="es-ES"/>
        </w:rPr>
        <w:t>,</w:t>
      </w:r>
      <w:r w:rsidRPr="00A041D2">
        <w:rPr>
          <w:rFonts w:ascii="Century Gothic" w:hAnsi="Century Gothic" w:cs="Arial"/>
          <w:bCs/>
          <w:lang w:val="es-ES"/>
        </w:rPr>
        <w:t xml:space="preserve"> es muy importante porque es la diferencia entre ingresos y gastos sin contar la deuda. Un balance primario positivo genera recursos para el pago de </w:t>
      </w:r>
      <w:r w:rsidR="002D61D2" w:rsidRPr="00A041D2">
        <w:rPr>
          <w:rFonts w:ascii="Century Gothic" w:hAnsi="Century Gothic" w:cs="Arial"/>
          <w:bCs/>
          <w:lang w:val="es-ES"/>
        </w:rPr>
        <w:t>obligaciones financieras.</w:t>
      </w:r>
      <w:r w:rsidRPr="00A041D2">
        <w:rPr>
          <w:rFonts w:ascii="Century Gothic" w:hAnsi="Century Gothic" w:cs="Arial"/>
          <w:bCs/>
          <w:lang w:val="es-ES"/>
        </w:rPr>
        <w:t xml:space="preserve"> </w:t>
      </w:r>
    </w:p>
    <w:p w14:paraId="76EF5485" w14:textId="2E9AA81F" w:rsidR="00687529" w:rsidRPr="00A041D2" w:rsidRDefault="00347417" w:rsidP="00687529">
      <w:pPr>
        <w:spacing w:before="100" w:beforeAutospacing="1" w:after="100" w:afterAutospacing="1"/>
        <w:jc w:val="both"/>
        <w:rPr>
          <w:rFonts w:ascii="Century Gothic" w:hAnsi="Century Gothic" w:cs="Arial"/>
          <w:bCs/>
          <w:lang w:val="es-ES"/>
        </w:rPr>
      </w:pPr>
      <w:r w:rsidRPr="00A041D2">
        <w:rPr>
          <w:rFonts w:ascii="Century Gothic" w:hAnsi="Century Gothic" w:cs="Arial"/>
          <w:bCs/>
          <w:lang w:val="es-ES"/>
        </w:rPr>
        <w:t xml:space="preserve">Ahora bien, el escenario fundamental para que </w:t>
      </w:r>
      <w:r w:rsidR="00BC0A80" w:rsidRPr="00A041D2">
        <w:rPr>
          <w:rFonts w:ascii="Century Gothic" w:hAnsi="Century Gothic" w:cs="Arial"/>
          <w:bCs/>
          <w:lang w:val="es-ES"/>
        </w:rPr>
        <w:t xml:space="preserve">la deuda tenga tendencia decreciente, como es la proyección del Gobierno, es que </w:t>
      </w:r>
      <w:r w:rsidR="00D64F66" w:rsidRPr="00A041D2">
        <w:rPr>
          <w:rFonts w:ascii="Century Gothic" w:hAnsi="Century Gothic" w:cs="Arial"/>
          <w:bCs/>
          <w:lang w:val="es-ES"/>
        </w:rPr>
        <w:t xml:space="preserve">la tasa de interés </w:t>
      </w:r>
      <w:r w:rsidR="00585DF6" w:rsidRPr="00A041D2">
        <w:rPr>
          <w:rFonts w:ascii="Century Gothic" w:hAnsi="Century Gothic" w:cs="Arial"/>
          <w:bCs/>
          <w:lang w:val="es-ES"/>
        </w:rPr>
        <w:t>sea</w:t>
      </w:r>
      <w:r w:rsidR="00D64F66" w:rsidRPr="00A041D2">
        <w:rPr>
          <w:rFonts w:ascii="Century Gothic" w:hAnsi="Century Gothic" w:cs="Arial"/>
          <w:bCs/>
          <w:lang w:val="es-ES"/>
        </w:rPr>
        <w:t xml:space="preserve"> menor al crecimiento económico observado. </w:t>
      </w:r>
      <w:r w:rsidR="00BC0A80" w:rsidRPr="00A041D2">
        <w:rPr>
          <w:rFonts w:ascii="Century Gothic" w:hAnsi="Century Gothic" w:cs="Arial"/>
          <w:bCs/>
          <w:lang w:val="es-ES"/>
        </w:rPr>
        <w:t xml:space="preserve">En las proyecciones del Ministerio de Hacienda, en ningún año la tasa de interés es menor que el crecimiento observado. </w:t>
      </w:r>
      <w:r w:rsidR="00D64F66" w:rsidRPr="00A041D2">
        <w:rPr>
          <w:rFonts w:ascii="Century Gothic" w:hAnsi="Century Gothic" w:cs="Arial"/>
          <w:bCs/>
          <w:lang w:val="es-ES"/>
        </w:rPr>
        <w:t>A</w:t>
      </w:r>
      <w:r w:rsidR="00585DF6" w:rsidRPr="00A041D2">
        <w:rPr>
          <w:rFonts w:ascii="Century Gothic" w:hAnsi="Century Gothic" w:cs="Arial"/>
          <w:bCs/>
          <w:lang w:val="es-ES"/>
        </w:rPr>
        <w:t xml:space="preserve">demás, </w:t>
      </w:r>
      <w:r w:rsidR="00D64F66" w:rsidRPr="00A041D2">
        <w:rPr>
          <w:rFonts w:ascii="Century Gothic" w:hAnsi="Century Gothic" w:cs="Arial"/>
          <w:bCs/>
          <w:lang w:val="es-ES"/>
        </w:rPr>
        <w:t xml:space="preserve">el crecimiento económico debe estar en sectores </w:t>
      </w:r>
      <w:r w:rsidR="002A4965" w:rsidRPr="00A041D2">
        <w:rPr>
          <w:rFonts w:ascii="Century Gothic" w:hAnsi="Century Gothic" w:cs="Arial"/>
          <w:bCs/>
          <w:lang w:val="es-ES"/>
        </w:rPr>
        <w:t>con pocas exenciones o deducciones tributarias</w:t>
      </w:r>
      <w:r w:rsidR="00585DF6" w:rsidRPr="00A041D2">
        <w:rPr>
          <w:rFonts w:ascii="Century Gothic" w:hAnsi="Century Gothic" w:cs="Arial"/>
          <w:bCs/>
          <w:lang w:val="es-ES"/>
        </w:rPr>
        <w:t xml:space="preserve"> y que a su vez </w:t>
      </w:r>
      <w:r w:rsidR="002D61D2" w:rsidRPr="00A041D2">
        <w:rPr>
          <w:rFonts w:ascii="Century Gothic" w:hAnsi="Century Gothic" w:cs="Arial"/>
          <w:bCs/>
          <w:lang w:val="es-ES"/>
        </w:rPr>
        <w:t xml:space="preserve">tenga </w:t>
      </w:r>
      <w:r w:rsidR="00585DF6" w:rsidRPr="00A041D2">
        <w:rPr>
          <w:rFonts w:ascii="Century Gothic" w:hAnsi="Century Gothic" w:cs="Arial"/>
          <w:bCs/>
          <w:lang w:val="es-ES"/>
        </w:rPr>
        <w:t>alta participación laboral para así</w:t>
      </w:r>
      <w:r w:rsidR="00BC0A80" w:rsidRPr="00A041D2">
        <w:rPr>
          <w:rFonts w:ascii="Century Gothic" w:hAnsi="Century Gothic" w:cs="Arial"/>
          <w:bCs/>
          <w:lang w:val="es-ES"/>
        </w:rPr>
        <w:t xml:space="preserve"> </w:t>
      </w:r>
      <w:r w:rsidR="00D64F66" w:rsidRPr="00A041D2">
        <w:rPr>
          <w:rFonts w:ascii="Century Gothic" w:hAnsi="Century Gothic" w:cs="Arial"/>
          <w:bCs/>
          <w:lang w:val="es-ES"/>
        </w:rPr>
        <w:t>aumentar el recaudo tributario</w:t>
      </w:r>
      <w:r w:rsidR="00BC0A80" w:rsidRPr="00A041D2">
        <w:rPr>
          <w:rFonts w:ascii="Century Gothic" w:hAnsi="Century Gothic" w:cs="Arial"/>
          <w:bCs/>
          <w:lang w:val="es-ES"/>
        </w:rPr>
        <w:t xml:space="preserve"> y con esto amortizar las obligaciones financieras</w:t>
      </w:r>
      <w:r w:rsidR="00D64F66" w:rsidRPr="00A041D2">
        <w:rPr>
          <w:rFonts w:ascii="Century Gothic" w:hAnsi="Century Gothic" w:cs="Arial"/>
          <w:bCs/>
          <w:lang w:val="es-ES"/>
        </w:rPr>
        <w:t xml:space="preserve">. </w:t>
      </w:r>
    </w:p>
    <w:p w14:paraId="7E307C88" w14:textId="2526745B" w:rsidR="002D61D2" w:rsidRPr="00A041D2" w:rsidRDefault="002D61D2" w:rsidP="00687529">
      <w:pPr>
        <w:spacing w:before="100" w:beforeAutospacing="1" w:after="100" w:afterAutospacing="1"/>
        <w:jc w:val="both"/>
        <w:rPr>
          <w:rFonts w:ascii="Century Gothic" w:hAnsi="Century Gothic" w:cs="Arial"/>
          <w:bCs/>
          <w:lang w:val="es-ES"/>
        </w:rPr>
      </w:pPr>
    </w:p>
    <w:p w14:paraId="4F4A7FC7" w14:textId="7814E263" w:rsidR="002D61D2" w:rsidRPr="00A041D2" w:rsidRDefault="002D61D2" w:rsidP="00687529">
      <w:pPr>
        <w:spacing w:before="100" w:beforeAutospacing="1" w:after="100" w:afterAutospacing="1"/>
        <w:jc w:val="both"/>
        <w:rPr>
          <w:rFonts w:ascii="Century Gothic" w:hAnsi="Century Gothic" w:cs="Arial"/>
          <w:bCs/>
          <w:lang w:val="es-ES"/>
        </w:rPr>
      </w:pPr>
    </w:p>
    <w:p w14:paraId="543DDBC9" w14:textId="6425968B" w:rsidR="002D61D2" w:rsidRPr="00A041D2" w:rsidRDefault="002D61D2" w:rsidP="00687529">
      <w:pPr>
        <w:spacing w:before="100" w:beforeAutospacing="1" w:after="100" w:afterAutospacing="1"/>
        <w:jc w:val="both"/>
        <w:rPr>
          <w:rFonts w:ascii="Century Gothic" w:hAnsi="Century Gothic" w:cs="Arial"/>
          <w:bCs/>
          <w:lang w:val="es-ES"/>
        </w:rPr>
      </w:pPr>
    </w:p>
    <w:p w14:paraId="110D3B40" w14:textId="43A6B72E" w:rsidR="002D61D2" w:rsidRPr="00A041D2" w:rsidRDefault="002D61D2" w:rsidP="00687529">
      <w:pPr>
        <w:spacing w:before="100" w:beforeAutospacing="1" w:after="100" w:afterAutospacing="1"/>
        <w:jc w:val="both"/>
        <w:rPr>
          <w:rFonts w:ascii="Century Gothic" w:hAnsi="Century Gothic" w:cs="Arial"/>
          <w:bCs/>
          <w:lang w:val="es-ES"/>
        </w:rPr>
      </w:pPr>
    </w:p>
    <w:p w14:paraId="6DCE2AA3" w14:textId="77777777" w:rsidR="002D61D2" w:rsidRPr="00A041D2" w:rsidRDefault="002D61D2" w:rsidP="00687529">
      <w:pPr>
        <w:spacing w:before="100" w:beforeAutospacing="1" w:after="100" w:afterAutospacing="1"/>
        <w:jc w:val="both"/>
        <w:rPr>
          <w:rFonts w:ascii="Century Gothic" w:hAnsi="Century Gothic" w:cs="Arial"/>
          <w:bCs/>
          <w:lang w:val="es-ES"/>
        </w:rPr>
      </w:pPr>
    </w:p>
    <w:p w14:paraId="4EEB2E88" w14:textId="257083FE" w:rsidR="00D64F66" w:rsidRPr="00A041D2" w:rsidRDefault="00D64F66" w:rsidP="00687529">
      <w:pPr>
        <w:spacing w:before="100" w:beforeAutospacing="1" w:after="100" w:afterAutospacing="1"/>
        <w:jc w:val="both"/>
        <w:rPr>
          <w:rFonts w:ascii="Century Gothic" w:hAnsi="Century Gothic" w:cs="Arial"/>
          <w:bCs/>
          <w:lang w:val="es-ES"/>
        </w:rPr>
      </w:pPr>
      <w:r w:rsidRPr="00A041D2">
        <w:rPr>
          <w:rFonts w:ascii="Century Gothic" w:hAnsi="Century Gothic" w:cs="Arial"/>
          <w:bCs/>
          <w:lang w:val="es-ES"/>
        </w:rPr>
        <w:t>Tabla. Variables de proyección por el Gobierno Nacional año 2020-2031.</w:t>
      </w:r>
    </w:p>
    <w:p w14:paraId="52D77661" w14:textId="150BDCC7" w:rsidR="00687529" w:rsidRPr="00A041D2" w:rsidRDefault="00687529" w:rsidP="00347417">
      <w:pPr>
        <w:spacing w:before="100" w:beforeAutospacing="1" w:after="100" w:afterAutospacing="1"/>
        <w:jc w:val="center"/>
        <w:rPr>
          <w:rFonts w:ascii="Century Gothic" w:hAnsi="Century Gothic" w:cs="Arial"/>
          <w:bCs/>
          <w:lang w:val="es-ES"/>
        </w:rPr>
      </w:pPr>
      <w:r w:rsidRPr="00A041D2">
        <w:rPr>
          <w:rFonts w:ascii="Century Gothic" w:hAnsi="Century Gothic" w:cs="Arial"/>
          <w:bCs/>
          <w:noProof/>
          <w:lang w:val="es-ES"/>
        </w:rPr>
        <w:drawing>
          <wp:inline distT="0" distB="0" distL="0" distR="0" wp14:anchorId="03216AE1" wp14:editId="55DD4DCA">
            <wp:extent cx="4563710" cy="2602523"/>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20-09-28 at 4.45.24 PM.png"/>
                    <pic:cNvPicPr/>
                  </pic:nvPicPr>
                  <pic:blipFill>
                    <a:blip r:embed="rId17">
                      <a:extLst>
                        <a:ext uri="{28A0092B-C50C-407E-A947-70E740481C1C}">
                          <a14:useLocalDpi xmlns:a14="http://schemas.microsoft.com/office/drawing/2010/main" val="0"/>
                        </a:ext>
                      </a:extLst>
                    </a:blip>
                    <a:stretch>
                      <a:fillRect/>
                    </a:stretch>
                  </pic:blipFill>
                  <pic:spPr>
                    <a:xfrm>
                      <a:off x="0" y="0"/>
                      <a:ext cx="4570284" cy="2606272"/>
                    </a:xfrm>
                    <a:prstGeom prst="rect">
                      <a:avLst/>
                    </a:prstGeom>
                  </pic:spPr>
                </pic:pic>
              </a:graphicData>
            </a:graphic>
          </wp:inline>
        </w:drawing>
      </w:r>
    </w:p>
    <w:p w14:paraId="460E23EE" w14:textId="07E7C25C" w:rsidR="002D61D2" w:rsidRPr="00A041D2" w:rsidRDefault="008420FE" w:rsidP="008420FE">
      <w:pPr>
        <w:spacing w:after="160" w:line="259" w:lineRule="auto"/>
        <w:jc w:val="both"/>
        <w:rPr>
          <w:rFonts w:ascii="Century Gothic" w:hAnsi="Century Gothic" w:cs="Arial"/>
          <w:bCs/>
          <w:lang w:val="es-ES"/>
        </w:rPr>
      </w:pPr>
      <w:r w:rsidRPr="00A041D2">
        <w:rPr>
          <w:rFonts w:ascii="Century Gothic" w:hAnsi="Century Gothic" w:cs="Arial"/>
          <w:bCs/>
          <w:lang w:val="es-ES"/>
        </w:rPr>
        <w:t>En la tabla anterior se observa que el Gobierno Nacional espera una tasa de crecimiento por encima del PIB potencial (Promedio de crecimiento de los últimos años)</w:t>
      </w:r>
      <w:r w:rsidR="00BC0A80" w:rsidRPr="00A041D2">
        <w:rPr>
          <w:rFonts w:ascii="Century Gothic" w:hAnsi="Century Gothic" w:cs="Arial"/>
          <w:bCs/>
          <w:lang w:val="es-ES"/>
        </w:rPr>
        <w:t xml:space="preserve"> hasta el año 2028</w:t>
      </w:r>
      <w:r w:rsidRPr="00A041D2">
        <w:rPr>
          <w:rFonts w:ascii="Century Gothic" w:hAnsi="Century Gothic" w:cs="Arial"/>
          <w:bCs/>
          <w:lang w:val="es-ES"/>
        </w:rPr>
        <w:t xml:space="preserve">. Respecto a este elemento, el Banco de la República y la Contraloría general de la Nación aseguraron en el debate del Presupuesto General de la Nación que </w:t>
      </w:r>
      <w:r w:rsidR="002D61D2" w:rsidRPr="00A041D2">
        <w:rPr>
          <w:rFonts w:ascii="Century Gothic" w:hAnsi="Century Gothic" w:cs="Arial"/>
          <w:bCs/>
          <w:lang w:val="es-ES"/>
        </w:rPr>
        <w:t>estas proyecciones</w:t>
      </w:r>
      <w:r w:rsidRPr="00A041D2">
        <w:rPr>
          <w:rFonts w:ascii="Century Gothic" w:hAnsi="Century Gothic" w:cs="Arial"/>
          <w:bCs/>
          <w:lang w:val="es-ES"/>
        </w:rPr>
        <w:t xml:space="preserve"> eran demasiado optimistas. En la siguiente tabla se </w:t>
      </w:r>
      <w:r w:rsidR="002D61D2" w:rsidRPr="00A041D2">
        <w:rPr>
          <w:rFonts w:ascii="Century Gothic" w:hAnsi="Century Gothic" w:cs="Arial"/>
          <w:bCs/>
          <w:lang w:val="es-ES"/>
        </w:rPr>
        <w:t xml:space="preserve">observan diferentes proyecciones de crecimiento para </w:t>
      </w:r>
      <w:r w:rsidR="006F604A" w:rsidRPr="00A041D2">
        <w:rPr>
          <w:rFonts w:ascii="Century Gothic" w:hAnsi="Century Gothic" w:cs="Arial"/>
          <w:bCs/>
          <w:lang w:val="es-ES"/>
        </w:rPr>
        <w:t xml:space="preserve">el año </w:t>
      </w:r>
      <w:r w:rsidR="002D61D2" w:rsidRPr="00A041D2">
        <w:rPr>
          <w:rFonts w:ascii="Century Gothic" w:hAnsi="Century Gothic" w:cs="Arial"/>
          <w:bCs/>
          <w:lang w:val="es-ES"/>
        </w:rPr>
        <w:t>2020.</w:t>
      </w:r>
      <w:r w:rsidR="001C14A9" w:rsidRPr="00A041D2">
        <w:rPr>
          <w:rFonts w:ascii="Century Gothic" w:hAnsi="Century Gothic" w:cs="Arial"/>
          <w:bCs/>
          <w:lang w:val="es-ES"/>
        </w:rPr>
        <w:t xml:space="preserve"> Incluso, el vice Ministro de Hacienda afirmó en revista Dinero que la proyección de crecimiento del -5,5% había sido demasiado optimista. </w:t>
      </w:r>
    </w:p>
    <w:p w14:paraId="6117E6DC" w14:textId="6D0082E6" w:rsidR="001C14A9" w:rsidRPr="00A041D2" w:rsidRDefault="001C14A9" w:rsidP="008420FE">
      <w:pPr>
        <w:spacing w:after="160" w:line="259" w:lineRule="auto"/>
        <w:jc w:val="both"/>
        <w:rPr>
          <w:rFonts w:ascii="Century Gothic" w:hAnsi="Century Gothic" w:cs="Arial"/>
          <w:bCs/>
          <w:lang w:val="es-ES"/>
        </w:rPr>
      </w:pPr>
    </w:p>
    <w:p w14:paraId="47AAB0DC" w14:textId="7A4FB2C6" w:rsidR="001C14A9" w:rsidRPr="00A041D2" w:rsidRDefault="001C14A9" w:rsidP="008420FE">
      <w:pPr>
        <w:spacing w:after="160" w:line="259" w:lineRule="auto"/>
        <w:jc w:val="both"/>
        <w:rPr>
          <w:rFonts w:ascii="Century Gothic" w:hAnsi="Century Gothic" w:cs="Arial"/>
          <w:bCs/>
          <w:lang w:val="es-ES"/>
        </w:rPr>
      </w:pPr>
    </w:p>
    <w:p w14:paraId="5E8A4160" w14:textId="78FAEBFE" w:rsidR="001C14A9" w:rsidRPr="00A041D2" w:rsidRDefault="001C14A9" w:rsidP="008420FE">
      <w:pPr>
        <w:spacing w:after="160" w:line="259" w:lineRule="auto"/>
        <w:jc w:val="both"/>
        <w:rPr>
          <w:rFonts w:ascii="Century Gothic" w:hAnsi="Century Gothic" w:cs="Arial"/>
          <w:bCs/>
          <w:lang w:val="es-ES"/>
        </w:rPr>
      </w:pPr>
    </w:p>
    <w:p w14:paraId="4D3C7399" w14:textId="232B8608" w:rsidR="001C14A9" w:rsidRPr="00A041D2" w:rsidRDefault="001C14A9" w:rsidP="008420FE">
      <w:pPr>
        <w:spacing w:after="160" w:line="259" w:lineRule="auto"/>
        <w:jc w:val="both"/>
        <w:rPr>
          <w:rFonts w:ascii="Century Gothic" w:hAnsi="Century Gothic" w:cs="Arial"/>
          <w:bCs/>
          <w:lang w:val="es-ES"/>
        </w:rPr>
      </w:pPr>
    </w:p>
    <w:p w14:paraId="57C1A564" w14:textId="3AF2C7EB" w:rsidR="001C14A9" w:rsidRPr="00A041D2" w:rsidRDefault="001C14A9" w:rsidP="008420FE">
      <w:pPr>
        <w:spacing w:after="160" w:line="259" w:lineRule="auto"/>
        <w:jc w:val="both"/>
        <w:rPr>
          <w:rFonts w:ascii="Century Gothic" w:hAnsi="Century Gothic" w:cs="Arial"/>
          <w:bCs/>
          <w:lang w:val="es-ES"/>
        </w:rPr>
      </w:pPr>
    </w:p>
    <w:p w14:paraId="0EEC4D01" w14:textId="77777777" w:rsidR="001C14A9" w:rsidRPr="00A041D2" w:rsidRDefault="001C14A9" w:rsidP="008420FE">
      <w:pPr>
        <w:spacing w:after="160" w:line="259" w:lineRule="auto"/>
        <w:jc w:val="both"/>
        <w:rPr>
          <w:rFonts w:ascii="Century Gothic" w:hAnsi="Century Gothic" w:cs="Arial"/>
          <w:bCs/>
          <w:lang w:val="es-ES"/>
        </w:rPr>
      </w:pPr>
    </w:p>
    <w:p w14:paraId="3854B2C9" w14:textId="1C5DDA75" w:rsidR="008420FE" w:rsidRPr="00A041D2" w:rsidRDefault="008420FE" w:rsidP="008420FE">
      <w:pPr>
        <w:spacing w:after="160" w:line="259" w:lineRule="auto"/>
        <w:jc w:val="both"/>
        <w:rPr>
          <w:rFonts w:ascii="Century Gothic" w:hAnsi="Century Gothic" w:cs="Arial"/>
          <w:bCs/>
          <w:lang w:val="es-ES"/>
        </w:rPr>
      </w:pPr>
      <w:r w:rsidRPr="00A041D2">
        <w:rPr>
          <w:rFonts w:ascii="Century Gothic" w:hAnsi="Century Gothic" w:cs="Arial"/>
          <w:bCs/>
          <w:lang w:val="es-ES"/>
        </w:rPr>
        <w:t>Tabla. Proyección económica para 2020.</w:t>
      </w:r>
    </w:p>
    <w:tbl>
      <w:tblPr>
        <w:tblStyle w:val="Tablaconcuadrcula"/>
        <w:tblW w:w="0" w:type="auto"/>
        <w:jc w:val="center"/>
        <w:tblLook w:val="04A0" w:firstRow="1" w:lastRow="0" w:firstColumn="1" w:lastColumn="0" w:noHBand="0" w:noVBand="1"/>
      </w:tblPr>
      <w:tblGrid>
        <w:gridCol w:w="4414"/>
        <w:gridCol w:w="3661"/>
      </w:tblGrid>
      <w:tr w:rsidR="008420FE" w:rsidRPr="00A041D2" w14:paraId="69E23691" w14:textId="77777777" w:rsidTr="008420FE">
        <w:trPr>
          <w:jc w:val="center"/>
        </w:trPr>
        <w:tc>
          <w:tcPr>
            <w:tcW w:w="4414" w:type="dxa"/>
          </w:tcPr>
          <w:p w14:paraId="4332FF82" w14:textId="3C302A97" w:rsidR="008420FE" w:rsidRPr="00A041D2" w:rsidRDefault="008420FE" w:rsidP="008420FE">
            <w:pPr>
              <w:spacing w:after="160" w:line="259" w:lineRule="auto"/>
              <w:jc w:val="center"/>
              <w:rPr>
                <w:rFonts w:ascii="Century Gothic" w:hAnsi="Century Gothic" w:cs="Arial"/>
                <w:bCs/>
                <w:lang w:val="es-ES"/>
              </w:rPr>
            </w:pPr>
            <w:r w:rsidRPr="00A041D2">
              <w:rPr>
                <w:rFonts w:ascii="Century Gothic" w:hAnsi="Century Gothic" w:cs="Arial"/>
                <w:bCs/>
                <w:lang w:val="es-ES"/>
              </w:rPr>
              <w:t>Institución</w:t>
            </w:r>
          </w:p>
        </w:tc>
        <w:tc>
          <w:tcPr>
            <w:tcW w:w="3661" w:type="dxa"/>
          </w:tcPr>
          <w:p w14:paraId="1680E51D" w14:textId="4ACFB096" w:rsidR="008420FE" w:rsidRPr="00A041D2" w:rsidRDefault="008420FE" w:rsidP="008420FE">
            <w:pPr>
              <w:spacing w:after="160" w:line="259" w:lineRule="auto"/>
              <w:jc w:val="center"/>
              <w:rPr>
                <w:rFonts w:ascii="Century Gothic" w:hAnsi="Century Gothic" w:cs="Arial"/>
                <w:bCs/>
                <w:lang w:val="es-ES"/>
              </w:rPr>
            </w:pPr>
            <w:r w:rsidRPr="00A041D2">
              <w:rPr>
                <w:rFonts w:ascii="Century Gothic" w:hAnsi="Century Gothic" w:cs="Arial"/>
                <w:bCs/>
                <w:lang w:val="es-ES"/>
              </w:rPr>
              <w:t>Proyección económica 2020</w:t>
            </w:r>
          </w:p>
        </w:tc>
      </w:tr>
      <w:tr w:rsidR="008420FE" w:rsidRPr="00A041D2" w14:paraId="7918D338" w14:textId="77777777" w:rsidTr="008420FE">
        <w:trPr>
          <w:jc w:val="center"/>
        </w:trPr>
        <w:tc>
          <w:tcPr>
            <w:tcW w:w="4414" w:type="dxa"/>
          </w:tcPr>
          <w:p w14:paraId="265438E3" w14:textId="2B66325C" w:rsidR="008420FE" w:rsidRPr="00A041D2" w:rsidRDefault="008420FE" w:rsidP="008420FE">
            <w:pPr>
              <w:spacing w:after="160" w:line="259" w:lineRule="auto"/>
              <w:jc w:val="center"/>
              <w:rPr>
                <w:rFonts w:ascii="Century Gothic" w:hAnsi="Century Gothic" w:cs="Arial"/>
                <w:bCs/>
                <w:lang w:val="es-ES"/>
              </w:rPr>
            </w:pPr>
            <w:proofErr w:type="spellStart"/>
            <w:r w:rsidRPr="00A041D2">
              <w:rPr>
                <w:rFonts w:ascii="Century Gothic" w:hAnsi="Century Gothic" w:cs="Arial"/>
                <w:bCs/>
                <w:lang w:val="es-ES"/>
              </w:rPr>
              <w:t>Ocde</w:t>
            </w:r>
            <w:proofErr w:type="spellEnd"/>
          </w:p>
        </w:tc>
        <w:tc>
          <w:tcPr>
            <w:tcW w:w="3661" w:type="dxa"/>
          </w:tcPr>
          <w:p w14:paraId="081718A3" w14:textId="0FB3CDBF" w:rsidR="008420FE" w:rsidRPr="00A041D2" w:rsidRDefault="008420FE" w:rsidP="008420FE">
            <w:pPr>
              <w:spacing w:after="160" w:line="259" w:lineRule="auto"/>
              <w:jc w:val="center"/>
              <w:rPr>
                <w:rFonts w:ascii="Century Gothic" w:hAnsi="Century Gothic" w:cs="Arial"/>
                <w:bCs/>
                <w:lang w:val="es-ES"/>
              </w:rPr>
            </w:pPr>
            <w:r w:rsidRPr="00A041D2">
              <w:rPr>
                <w:rFonts w:ascii="Century Gothic" w:hAnsi="Century Gothic" w:cs="Arial"/>
                <w:bCs/>
                <w:lang w:val="es-ES"/>
              </w:rPr>
              <w:t>-6,1%</w:t>
            </w:r>
          </w:p>
        </w:tc>
      </w:tr>
      <w:tr w:rsidR="008420FE" w:rsidRPr="00A041D2" w14:paraId="1216C021" w14:textId="77777777" w:rsidTr="008420FE">
        <w:trPr>
          <w:jc w:val="center"/>
        </w:trPr>
        <w:tc>
          <w:tcPr>
            <w:tcW w:w="4414" w:type="dxa"/>
          </w:tcPr>
          <w:p w14:paraId="486BF96A" w14:textId="3097D62C" w:rsidR="008420FE" w:rsidRPr="00A041D2" w:rsidRDefault="008420FE" w:rsidP="008420FE">
            <w:pPr>
              <w:spacing w:after="160" w:line="259" w:lineRule="auto"/>
              <w:jc w:val="center"/>
              <w:rPr>
                <w:rFonts w:ascii="Century Gothic" w:hAnsi="Century Gothic" w:cs="Arial"/>
                <w:bCs/>
                <w:lang w:val="es-ES"/>
              </w:rPr>
            </w:pPr>
            <w:r w:rsidRPr="00A041D2">
              <w:rPr>
                <w:rFonts w:ascii="Century Gothic" w:hAnsi="Century Gothic" w:cs="Arial"/>
                <w:bCs/>
                <w:lang w:val="es-ES"/>
              </w:rPr>
              <w:t>FMI</w:t>
            </w:r>
          </w:p>
        </w:tc>
        <w:tc>
          <w:tcPr>
            <w:tcW w:w="3661" w:type="dxa"/>
          </w:tcPr>
          <w:p w14:paraId="714C2AE6" w14:textId="340EE534" w:rsidR="008420FE" w:rsidRPr="00A041D2" w:rsidRDefault="008420FE" w:rsidP="008420FE">
            <w:pPr>
              <w:spacing w:after="160" w:line="259" w:lineRule="auto"/>
              <w:jc w:val="center"/>
              <w:rPr>
                <w:rFonts w:ascii="Century Gothic" w:hAnsi="Century Gothic" w:cs="Arial"/>
                <w:bCs/>
                <w:lang w:val="es-ES"/>
              </w:rPr>
            </w:pPr>
            <w:r w:rsidRPr="00A041D2">
              <w:rPr>
                <w:rFonts w:ascii="Century Gothic" w:hAnsi="Century Gothic" w:cs="Arial"/>
                <w:bCs/>
                <w:lang w:val="es-ES"/>
              </w:rPr>
              <w:t>-,8%</w:t>
            </w:r>
          </w:p>
        </w:tc>
      </w:tr>
      <w:tr w:rsidR="008420FE" w:rsidRPr="00A041D2" w14:paraId="3CFB0DA0" w14:textId="77777777" w:rsidTr="008420FE">
        <w:trPr>
          <w:jc w:val="center"/>
        </w:trPr>
        <w:tc>
          <w:tcPr>
            <w:tcW w:w="4414" w:type="dxa"/>
          </w:tcPr>
          <w:p w14:paraId="0DD56E29" w14:textId="7BA6FDD3" w:rsidR="008420FE" w:rsidRPr="00A041D2" w:rsidRDefault="008420FE" w:rsidP="008420FE">
            <w:pPr>
              <w:spacing w:after="160" w:line="259" w:lineRule="auto"/>
              <w:jc w:val="center"/>
              <w:rPr>
                <w:rFonts w:ascii="Century Gothic" w:hAnsi="Century Gothic" w:cs="Arial"/>
                <w:bCs/>
                <w:lang w:val="es-ES"/>
              </w:rPr>
            </w:pPr>
            <w:r w:rsidRPr="00A041D2">
              <w:rPr>
                <w:rFonts w:ascii="Century Gothic" w:hAnsi="Century Gothic" w:cs="Arial"/>
                <w:bCs/>
                <w:lang w:val="es-ES"/>
              </w:rPr>
              <w:t>Banco de la República</w:t>
            </w:r>
          </w:p>
        </w:tc>
        <w:tc>
          <w:tcPr>
            <w:tcW w:w="3661" w:type="dxa"/>
          </w:tcPr>
          <w:p w14:paraId="4FEFC8E6" w14:textId="64883ACA" w:rsidR="008420FE" w:rsidRPr="00A041D2" w:rsidRDefault="008420FE" w:rsidP="008420FE">
            <w:pPr>
              <w:spacing w:after="160" w:line="259" w:lineRule="auto"/>
              <w:jc w:val="center"/>
              <w:rPr>
                <w:rFonts w:ascii="Century Gothic" w:hAnsi="Century Gothic" w:cs="Arial"/>
                <w:bCs/>
                <w:lang w:val="es-ES"/>
              </w:rPr>
            </w:pPr>
            <w:r w:rsidRPr="00A041D2">
              <w:rPr>
                <w:rFonts w:ascii="Century Gothic" w:hAnsi="Century Gothic" w:cs="Arial"/>
                <w:bCs/>
                <w:lang w:val="es-ES"/>
              </w:rPr>
              <w:t>Entre -2% y -7%</w:t>
            </w:r>
          </w:p>
        </w:tc>
      </w:tr>
      <w:tr w:rsidR="008420FE" w:rsidRPr="00A041D2" w14:paraId="00F708B7" w14:textId="77777777" w:rsidTr="008420FE">
        <w:trPr>
          <w:jc w:val="center"/>
        </w:trPr>
        <w:tc>
          <w:tcPr>
            <w:tcW w:w="4414" w:type="dxa"/>
          </w:tcPr>
          <w:p w14:paraId="775D746A" w14:textId="00C2F4B0" w:rsidR="008420FE" w:rsidRPr="00A041D2" w:rsidRDefault="008420FE" w:rsidP="008420FE">
            <w:pPr>
              <w:spacing w:after="160" w:line="259" w:lineRule="auto"/>
              <w:jc w:val="center"/>
              <w:rPr>
                <w:rFonts w:ascii="Century Gothic" w:hAnsi="Century Gothic" w:cs="Arial"/>
                <w:bCs/>
                <w:lang w:val="es-ES"/>
              </w:rPr>
            </w:pPr>
            <w:r w:rsidRPr="00A041D2">
              <w:rPr>
                <w:rFonts w:ascii="Century Gothic" w:hAnsi="Century Gothic" w:cs="Arial"/>
                <w:bCs/>
                <w:lang w:val="es-ES"/>
              </w:rPr>
              <w:t>Ministerio de Hacienda</w:t>
            </w:r>
          </w:p>
        </w:tc>
        <w:tc>
          <w:tcPr>
            <w:tcW w:w="3661" w:type="dxa"/>
          </w:tcPr>
          <w:p w14:paraId="57480510" w14:textId="3D6A74A9" w:rsidR="008420FE" w:rsidRPr="00A041D2" w:rsidRDefault="008420FE" w:rsidP="008420FE">
            <w:pPr>
              <w:spacing w:after="160" w:line="259" w:lineRule="auto"/>
              <w:jc w:val="center"/>
              <w:rPr>
                <w:rFonts w:ascii="Century Gothic" w:hAnsi="Century Gothic" w:cs="Arial"/>
                <w:bCs/>
                <w:lang w:val="es-ES"/>
              </w:rPr>
            </w:pPr>
            <w:r w:rsidRPr="00A041D2">
              <w:rPr>
                <w:rFonts w:ascii="Century Gothic" w:hAnsi="Century Gothic" w:cs="Arial"/>
                <w:bCs/>
                <w:lang w:val="es-ES"/>
              </w:rPr>
              <w:t>-5,5%</w:t>
            </w:r>
          </w:p>
        </w:tc>
      </w:tr>
    </w:tbl>
    <w:p w14:paraId="478C0559" w14:textId="1A52CF8B" w:rsidR="008420FE" w:rsidRPr="00A041D2" w:rsidRDefault="008420FE" w:rsidP="008628E5">
      <w:pPr>
        <w:spacing w:before="100" w:beforeAutospacing="1" w:after="100" w:afterAutospacing="1"/>
        <w:jc w:val="both"/>
        <w:rPr>
          <w:rFonts w:ascii="Century Gothic" w:hAnsi="Century Gothic" w:cs="Arial"/>
          <w:bCs/>
          <w:lang w:val="es-ES"/>
        </w:rPr>
      </w:pPr>
      <w:r w:rsidRPr="00A041D2">
        <w:rPr>
          <w:rFonts w:ascii="Century Gothic" w:hAnsi="Century Gothic" w:cs="Arial"/>
          <w:bCs/>
          <w:lang w:val="es-ES"/>
        </w:rPr>
        <w:tab/>
        <w:t>Fuente: Base estadística de cada institución</w:t>
      </w:r>
    </w:p>
    <w:p w14:paraId="3C9B714B" w14:textId="7A554273" w:rsidR="00FA44D4" w:rsidRPr="00A041D2" w:rsidRDefault="001C14A9" w:rsidP="008628E5">
      <w:pPr>
        <w:spacing w:before="100" w:beforeAutospacing="1" w:after="100" w:afterAutospacing="1"/>
        <w:jc w:val="both"/>
        <w:rPr>
          <w:rFonts w:ascii="Century Gothic" w:hAnsi="Century Gothic" w:cs="Arial"/>
          <w:bCs/>
          <w:lang w:val="es-ES"/>
        </w:rPr>
      </w:pPr>
      <w:r w:rsidRPr="00A041D2">
        <w:rPr>
          <w:rFonts w:ascii="Century Gothic" w:hAnsi="Century Gothic" w:cs="Arial"/>
          <w:bCs/>
          <w:lang w:val="es-ES"/>
        </w:rPr>
        <w:t xml:space="preserve">Incluso, según el Indicador de seguimiento de la economía, la economía </w:t>
      </w:r>
      <w:r w:rsidR="00123984" w:rsidRPr="00A041D2">
        <w:rPr>
          <w:rFonts w:ascii="Century Gothic" w:hAnsi="Century Gothic" w:cs="Arial"/>
          <w:bCs/>
          <w:lang w:val="es-ES"/>
        </w:rPr>
        <w:t>c</w:t>
      </w:r>
      <w:r w:rsidRPr="00A041D2">
        <w:rPr>
          <w:rFonts w:ascii="Century Gothic" w:hAnsi="Century Gothic" w:cs="Arial"/>
          <w:bCs/>
          <w:lang w:val="es-ES"/>
        </w:rPr>
        <w:t xml:space="preserve">olombiana no está teniendo un crecimiento en “V”. </w:t>
      </w:r>
      <w:r w:rsidR="00A041D2" w:rsidRPr="00A041D2">
        <w:rPr>
          <w:rFonts w:ascii="Century Gothic" w:hAnsi="Century Gothic" w:cs="Arial"/>
          <w:bCs/>
          <w:lang w:val="es-ES"/>
        </w:rPr>
        <w:t>E</w:t>
      </w:r>
      <w:r w:rsidR="00EB4FA8" w:rsidRPr="00A041D2">
        <w:rPr>
          <w:rFonts w:ascii="Century Gothic" w:hAnsi="Century Gothic" w:cs="Arial"/>
          <w:bCs/>
          <w:lang w:val="es-ES"/>
        </w:rPr>
        <w:t>ntre Agosto y Julio de 2020</w:t>
      </w:r>
      <w:r w:rsidR="00A041D2" w:rsidRPr="00A041D2">
        <w:rPr>
          <w:rFonts w:ascii="Century Gothic" w:hAnsi="Century Gothic" w:cs="Arial"/>
          <w:bCs/>
          <w:lang w:val="es-ES"/>
        </w:rPr>
        <w:t xml:space="preserve"> hubo un crecimiento económico negativo a pesar de la apertura económica</w:t>
      </w:r>
      <w:r w:rsidR="000B46E2" w:rsidRPr="00A041D2">
        <w:rPr>
          <w:rFonts w:ascii="Century Gothic" w:hAnsi="Century Gothic" w:cs="Arial"/>
          <w:bCs/>
          <w:lang w:val="es-ES"/>
        </w:rPr>
        <w:t xml:space="preserve">. </w:t>
      </w:r>
      <w:r w:rsidR="00A041D2" w:rsidRPr="00A041D2">
        <w:rPr>
          <w:rFonts w:ascii="Century Gothic" w:hAnsi="Century Gothic" w:cs="Arial"/>
          <w:bCs/>
          <w:lang w:val="es-ES"/>
        </w:rPr>
        <w:t>Se</w:t>
      </w:r>
      <w:r w:rsidR="000B46E2" w:rsidRPr="00A041D2">
        <w:rPr>
          <w:rFonts w:ascii="Century Gothic" w:hAnsi="Century Gothic" w:cs="Arial"/>
          <w:bCs/>
          <w:lang w:val="es-ES"/>
        </w:rPr>
        <w:t xml:space="preserve"> prevé </w:t>
      </w:r>
      <w:r w:rsidR="00A041D2" w:rsidRPr="00A041D2">
        <w:rPr>
          <w:rFonts w:ascii="Century Gothic" w:hAnsi="Century Gothic" w:cs="Arial"/>
          <w:bCs/>
          <w:lang w:val="es-ES"/>
        </w:rPr>
        <w:t xml:space="preserve">entonces, </w:t>
      </w:r>
      <w:r w:rsidR="000B46E2" w:rsidRPr="00A041D2">
        <w:rPr>
          <w:rFonts w:ascii="Century Gothic" w:hAnsi="Century Gothic" w:cs="Arial"/>
          <w:bCs/>
          <w:lang w:val="es-ES"/>
        </w:rPr>
        <w:t>una profunda inestabilidad económica que se traduce en menos empleo, menos empresas</w:t>
      </w:r>
      <w:r w:rsidR="001E77E3" w:rsidRPr="00A041D2">
        <w:rPr>
          <w:rFonts w:ascii="Century Gothic" w:hAnsi="Century Gothic" w:cs="Arial"/>
          <w:bCs/>
          <w:lang w:val="es-ES"/>
        </w:rPr>
        <w:t xml:space="preserve"> y</w:t>
      </w:r>
      <w:r w:rsidR="000B46E2" w:rsidRPr="00A041D2">
        <w:rPr>
          <w:rFonts w:ascii="Century Gothic" w:hAnsi="Century Gothic" w:cs="Arial"/>
          <w:bCs/>
          <w:lang w:val="es-ES"/>
        </w:rPr>
        <w:t xml:space="preserve"> menos consumo. </w:t>
      </w:r>
    </w:p>
    <w:p w14:paraId="2F9BDBAE" w14:textId="57AF36AD" w:rsidR="00FA44D4" w:rsidRPr="00A041D2" w:rsidRDefault="00FA44D4" w:rsidP="008628E5">
      <w:pPr>
        <w:spacing w:before="100" w:beforeAutospacing="1" w:after="100" w:afterAutospacing="1"/>
        <w:jc w:val="both"/>
        <w:rPr>
          <w:rFonts w:ascii="Century Gothic" w:hAnsi="Century Gothic" w:cs="Arial"/>
          <w:bCs/>
          <w:lang w:val="es-ES"/>
        </w:rPr>
      </w:pPr>
      <w:r w:rsidRPr="00A041D2">
        <w:rPr>
          <w:rFonts w:ascii="Century Gothic" w:hAnsi="Century Gothic" w:cs="Arial"/>
          <w:bCs/>
          <w:lang w:val="es-ES"/>
        </w:rPr>
        <w:t xml:space="preserve">Gráfica. Crecimiento económico </w:t>
      </w:r>
      <w:r w:rsidR="00A041D2" w:rsidRPr="00A041D2">
        <w:rPr>
          <w:rFonts w:ascii="Century Gothic" w:hAnsi="Century Gothic" w:cs="Arial"/>
          <w:bCs/>
          <w:lang w:val="es-ES"/>
        </w:rPr>
        <w:t xml:space="preserve">mensual entre Enero 2020 y Agosto 2020. </w:t>
      </w:r>
    </w:p>
    <w:p w14:paraId="589A88F4" w14:textId="46E6DB37" w:rsidR="001C14A9" w:rsidRPr="00A041D2" w:rsidRDefault="00123984" w:rsidP="001E77E3">
      <w:pPr>
        <w:spacing w:before="100" w:beforeAutospacing="1" w:after="100" w:afterAutospacing="1"/>
        <w:jc w:val="center"/>
        <w:rPr>
          <w:rFonts w:ascii="Century Gothic" w:hAnsi="Century Gothic" w:cs="Arial"/>
          <w:bCs/>
          <w:lang w:val="es-ES"/>
        </w:rPr>
      </w:pPr>
      <w:r w:rsidRPr="00A041D2">
        <w:rPr>
          <w:noProof/>
          <w:lang w:val="es-ES"/>
        </w:rPr>
        <w:drawing>
          <wp:inline distT="0" distB="0" distL="0" distR="0" wp14:anchorId="06CA6FDB" wp14:editId="3BA47B39">
            <wp:extent cx="4572000" cy="2743200"/>
            <wp:effectExtent l="0" t="0" r="12700" b="12700"/>
            <wp:docPr id="12" name="Chart 12">
              <a:extLst xmlns:a="http://schemas.openxmlformats.org/drawingml/2006/main">
                <a:ext uri="{FF2B5EF4-FFF2-40B4-BE49-F238E27FC236}">
                  <a16:creationId xmlns:a16="http://schemas.microsoft.com/office/drawing/2014/main" id="{FF3EA6E9-4E0E-4E4D-97E9-FEA5B5BF7C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E55B309" w14:textId="77D16F19" w:rsidR="00A041D2" w:rsidRPr="00A041D2" w:rsidRDefault="00A041D2" w:rsidP="008628E5">
      <w:pPr>
        <w:spacing w:before="100" w:beforeAutospacing="1" w:after="100" w:afterAutospacing="1"/>
        <w:jc w:val="both"/>
        <w:rPr>
          <w:rFonts w:ascii="Century Gothic" w:hAnsi="Century Gothic" w:cs="Arial"/>
          <w:bCs/>
          <w:lang w:val="es-ES"/>
        </w:rPr>
      </w:pPr>
      <w:r w:rsidRPr="00A041D2">
        <w:rPr>
          <w:rFonts w:ascii="Century Gothic" w:hAnsi="Century Gothic" w:cs="Arial"/>
          <w:b/>
          <w:bCs/>
          <w:lang w:val="es-ES"/>
        </w:rPr>
        <w:tab/>
      </w:r>
      <w:r w:rsidRPr="00A041D2">
        <w:rPr>
          <w:rFonts w:ascii="Century Gothic" w:hAnsi="Century Gothic" w:cs="Arial"/>
          <w:bCs/>
          <w:lang w:val="es-ES"/>
        </w:rPr>
        <w:t>Fuente: (</w:t>
      </w:r>
      <w:proofErr w:type="spellStart"/>
      <w:r w:rsidRPr="00A041D2">
        <w:rPr>
          <w:rFonts w:ascii="Century Gothic" w:hAnsi="Century Gothic" w:cs="Arial"/>
          <w:bCs/>
          <w:lang w:val="es-ES"/>
        </w:rPr>
        <w:t>Dane</w:t>
      </w:r>
      <w:proofErr w:type="spellEnd"/>
      <w:r w:rsidRPr="00A041D2">
        <w:rPr>
          <w:rFonts w:ascii="Century Gothic" w:hAnsi="Century Gothic" w:cs="Arial"/>
          <w:bCs/>
          <w:lang w:val="es-ES"/>
        </w:rPr>
        <w:t>, 2020)</w:t>
      </w:r>
    </w:p>
    <w:p w14:paraId="38A013A2" w14:textId="78D1A50B" w:rsidR="00A041D2" w:rsidRDefault="00A041D2" w:rsidP="008628E5">
      <w:pPr>
        <w:spacing w:before="100" w:beforeAutospacing="1" w:after="100" w:afterAutospacing="1"/>
        <w:jc w:val="both"/>
        <w:rPr>
          <w:rFonts w:ascii="Century Gothic" w:hAnsi="Century Gothic" w:cs="Arial"/>
          <w:bCs/>
          <w:lang w:val="es-ES"/>
        </w:rPr>
      </w:pPr>
    </w:p>
    <w:p w14:paraId="1DB58C7C" w14:textId="76E39A0F" w:rsidR="00B15BF3" w:rsidRPr="00A041D2" w:rsidRDefault="00B15BF3" w:rsidP="008628E5">
      <w:pPr>
        <w:spacing w:before="100" w:beforeAutospacing="1" w:after="100" w:afterAutospacing="1"/>
        <w:jc w:val="both"/>
        <w:rPr>
          <w:rFonts w:ascii="Century Gothic" w:hAnsi="Century Gothic" w:cs="Arial"/>
          <w:bCs/>
          <w:lang w:val="es-ES"/>
        </w:rPr>
      </w:pPr>
      <w:r>
        <w:rPr>
          <w:rFonts w:ascii="Century Gothic" w:hAnsi="Century Gothic" w:cs="Arial"/>
          <w:bCs/>
          <w:lang w:val="es-ES"/>
        </w:rPr>
        <w:t xml:space="preserve">En la siguiente gráfica se observa que Colombia y Paraguay son los únicos países de la muestra regional con crecimiento negativo en el mes de </w:t>
      </w:r>
      <w:r w:rsidR="00651ACA">
        <w:rPr>
          <w:rFonts w:ascii="Century Gothic" w:hAnsi="Century Gothic" w:cs="Arial"/>
          <w:bCs/>
          <w:lang w:val="es-ES"/>
        </w:rPr>
        <w:t>a</w:t>
      </w:r>
      <w:r>
        <w:rPr>
          <w:rFonts w:ascii="Century Gothic" w:hAnsi="Century Gothic" w:cs="Arial"/>
          <w:bCs/>
          <w:lang w:val="es-ES"/>
        </w:rPr>
        <w:t xml:space="preserve">gosto ajustado por efecto estacional. Es decir, </w:t>
      </w:r>
      <w:r w:rsidR="00651ACA">
        <w:rPr>
          <w:rFonts w:ascii="Century Gothic" w:hAnsi="Century Gothic" w:cs="Arial"/>
          <w:bCs/>
          <w:lang w:val="es-ES"/>
        </w:rPr>
        <w:t xml:space="preserve">somos uno de los países con peor crecimiento económico en el mes de agosto. </w:t>
      </w:r>
    </w:p>
    <w:p w14:paraId="4B701F18" w14:textId="430B22CE" w:rsidR="00A041D2" w:rsidRPr="00A041D2" w:rsidRDefault="00B15BF3" w:rsidP="008628E5">
      <w:pPr>
        <w:spacing w:before="100" w:beforeAutospacing="1" w:after="100" w:afterAutospacing="1"/>
        <w:jc w:val="both"/>
        <w:rPr>
          <w:rFonts w:ascii="Century Gothic" w:hAnsi="Century Gothic" w:cs="Arial"/>
          <w:bCs/>
          <w:lang w:val="es-ES"/>
        </w:rPr>
      </w:pPr>
      <w:r w:rsidRPr="00A041D2">
        <w:rPr>
          <w:rFonts w:ascii="Century Gothic" w:hAnsi="Century Gothic" w:cs="Arial"/>
          <w:bCs/>
          <w:lang w:val="es-ES"/>
        </w:rPr>
        <w:t xml:space="preserve">Gráfica. Crecimiento económico </w:t>
      </w:r>
      <w:r>
        <w:rPr>
          <w:rFonts w:ascii="Century Gothic" w:hAnsi="Century Gothic" w:cs="Arial"/>
          <w:bCs/>
          <w:lang w:val="es-ES"/>
        </w:rPr>
        <w:t xml:space="preserve">comparado para varios países en el mes de </w:t>
      </w:r>
      <w:r w:rsidR="00651ACA">
        <w:rPr>
          <w:rFonts w:ascii="Century Gothic" w:hAnsi="Century Gothic" w:cs="Arial"/>
          <w:bCs/>
          <w:lang w:val="es-ES"/>
        </w:rPr>
        <w:t>a</w:t>
      </w:r>
      <w:r>
        <w:rPr>
          <w:rFonts w:ascii="Century Gothic" w:hAnsi="Century Gothic" w:cs="Arial"/>
          <w:bCs/>
          <w:lang w:val="es-ES"/>
        </w:rPr>
        <w:t>gosto</w:t>
      </w:r>
      <w:r w:rsidRPr="00A041D2">
        <w:rPr>
          <w:rFonts w:ascii="Century Gothic" w:hAnsi="Century Gothic" w:cs="Arial"/>
          <w:bCs/>
          <w:lang w:val="es-ES"/>
        </w:rPr>
        <w:t xml:space="preserve">. </w:t>
      </w:r>
    </w:p>
    <w:p w14:paraId="029A1025" w14:textId="02A4E31D" w:rsidR="00A041D2" w:rsidRPr="00A041D2" w:rsidRDefault="00A041D2" w:rsidP="008628E5">
      <w:pPr>
        <w:spacing w:before="100" w:beforeAutospacing="1" w:after="100" w:afterAutospacing="1"/>
        <w:jc w:val="both"/>
        <w:rPr>
          <w:rFonts w:ascii="Century Gothic" w:hAnsi="Century Gothic" w:cs="Arial"/>
          <w:bCs/>
          <w:lang w:val="es-ES"/>
        </w:rPr>
      </w:pPr>
      <w:r>
        <w:rPr>
          <w:noProof/>
        </w:rPr>
        <w:drawing>
          <wp:inline distT="0" distB="0" distL="0" distR="0" wp14:anchorId="0AA97587" wp14:editId="1024CC00">
            <wp:extent cx="5354665" cy="2743200"/>
            <wp:effectExtent l="0" t="0" r="17780" b="12700"/>
            <wp:docPr id="15" name="Chart 15">
              <a:extLst xmlns:a="http://schemas.openxmlformats.org/drawingml/2006/main">
                <a:ext uri="{FF2B5EF4-FFF2-40B4-BE49-F238E27FC236}">
                  <a16:creationId xmlns:a16="http://schemas.microsoft.com/office/drawing/2014/main" id="{240F1884-0422-AB44-82ED-C0D068EF82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0619A05" w14:textId="1B5E8B22" w:rsidR="00651ACA" w:rsidRDefault="00651ACA" w:rsidP="00651ACA">
      <w:pPr>
        <w:spacing w:before="100" w:beforeAutospacing="1" w:after="100" w:afterAutospacing="1"/>
        <w:ind w:firstLine="708"/>
        <w:jc w:val="both"/>
        <w:rPr>
          <w:rFonts w:ascii="Century Gothic" w:hAnsi="Century Gothic" w:cs="Arial"/>
          <w:b/>
          <w:bCs/>
          <w:lang w:val="es-ES"/>
        </w:rPr>
      </w:pPr>
      <w:r w:rsidRPr="00A041D2">
        <w:rPr>
          <w:rFonts w:ascii="Century Gothic" w:hAnsi="Century Gothic" w:cs="Arial"/>
          <w:bCs/>
          <w:lang w:val="es-ES"/>
        </w:rPr>
        <w:t>Fuente: (</w:t>
      </w:r>
      <w:proofErr w:type="spellStart"/>
      <w:r w:rsidRPr="00A041D2">
        <w:rPr>
          <w:rFonts w:ascii="Century Gothic" w:hAnsi="Century Gothic" w:cs="Arial"/>
          <w:bCs/>
          <w:lang w:val="es-ES"/>
        </w:rPr>
        <w:t>Dane</w:t>
      </w:r>
      <w:proofErr w:type="spellEnd"/>
      <w:r w:rsidRPr="00A041D2">
        <w:rPr>
          <w:rFonts w:ascii="Century Gothic" w:hAnsi="Century Gothic" w:cs="Arial"/>
          <w:bCs/>
          <w:lang w:val="es-ES"/>
        </w:rPr>
        <w:t>, 2020)</w:t>
      </w:r>
    </w:p>
    <w:p w14:paraId="1CD3B81E" w14:textId="5927A13E" w:rsidR="008420FE" w:rsidRPr="00A041D2" w:rsidRDefault="008420FE" w:rsidP="008628E5">
      <w:pPr>
        <w:spacing w:before="100" w:beforeAutospacing="1" w:after="100" w:afterAutospacing="1"/>
        <w:jc w:val="both"/>
        <w:rPr>
          <w:rFonts w:ascii="Century Gothic" w:hAnsi="Century Gothic" w:cs="Arial"/>
          <w:b/>
          <w:bCs/>
          <w:lang w:val="es-ES"/>
        </w:rPr>
      </w:pPr>
      <w:r w:rsidRPr="00A041D2">
        <w:rPr>
          <w:rFonts w:ascii="Century Gothic" w:hAnsi="Century Gothic" w:cs="Arial"/>
          <w:b/>
          <w:bCs/>
          <w:lang w:val="es-ES"/>
        </w:rPr>
        <w:t>Sobre el gasto de la deuda</w:t>
      </w:r>
    </w:p>
    <w:p w14:paraId="636CF1E1" w14:textId="00A6B959" w:rsidR="0002780D" w:rsidRDefault="00BC0A80" w:rsidP="008628E5">
      <w:pPr>
        <w:spacing w:before="100" w:beforeAutospacing="1" w:after="100" w:afterAutospacing="1"/>
        <w:jc w:val="both"/>
        <w:rPr>
          <w:rFonts w:ascii="Century Gothic" w:hAnsi="Century Gothic" w:cs="Arial"/>
          <w:bCs/>
          <w:lang w:val="es-ES"/>
        </w:rPr>
      </w:pPr>
      <w:r w:rsidRPr="00A041D2">
        <w:rPr>
          <w:rFonts w:ascii="Century Gothic" w:hAnsi="Century Gothic" w:cs="Arial"/>
          <w:bCs/>
          <w:lang w:val="es-ES"/>
        </w:rPr>
        <w:t>Ahora bien, como se mencionó anteriormente</w:t>
      </w:r>
      <w:r w:rsidR="00300AE1" w:rsidRPr="00A041D2">
        <w:rPr>
          <w:rFonts w:ascii="Century Gothic" w:hAnsi="Century Gothic" w:cs="Arial"/>
          <w:bCs/>
          <w:lang w:val="es-ES"/>
        </w:rPr>
        <w:t xml:space="preserve">, </w:t>
      </w:r>
      <w:r w:rsidRPr="00A041D2">
        <w:rPr>
          <w:rFonts w:ascii="Century Gothic" w:hAnsi="Century Gothic" w:cs="Arial"/>
          <w:bCs/>
          <w:lang w:val="es-ES"/>
        </w:rPr>
        <w:t xml:space="preserve">la deuda no es negativa per sé. </w:t>
      </w:r>
      <w:r w:rsidR="00EE5FDB" w:rsidRPr="00A041D2">
        <w:rPr>
          <w:rFonts w:ascii="Century Gothic" w:hAnsi="Century Gothic" w:cs="Arial"/>
          <w:bCs/>
          <w:lang w:val="es-ES"/>
        </w:rPr>
        <w:t xml:space="preserve">Un elemento fundamental sobre la deuda </w:t>
      </w:r>
      <w:r w:rsidR="00300AE1" w:rsidRPr="00A041D2">
        <w:rPr>
          <w:rFonts w:ascii="Century Gothic" w:hAnsi="Century Gothic" w:cs="Arial"/>
          <w:bCs/>
          <w:lang w:val="es-ES"/>
        </w:rPr>
        <w:t xml:space="preserve">pública </w:t>
      </w:r>
      <w:r w:rsidR="00EE5FDB" w:rsidRPr="00A041D2">
        <w:rPr>
          <w:rFonts w:ascii="Century Gothic" w:hAnsi="Century Gothic" w:cs="Arial"/>
          <w:bCs/>
          <w:lang w:val="es-ES"/>
        </w:rPr>
        <w:t>es que los recursos invertidos debe</w:t>
      </w:r>
      <w:r w:rsidR="006F604A" w:rsidRPr="00A041D2">
        <w:rPr>
          <w:rFonts w:ascii="Century Gothic" w:hAnsi="Century Gothic" w:cs="Arial"/>
          <w:bCs/>
          <w:lang w:val="es-ES"/>
        </w:rPr>
        <w:t>rían</w:t>
      </w:r>
      <w:r w:rsidR="00EE5FDB" w:rsidRPr="00A041D2">
        <w:rPr>
          <w:rFonts w:ascii="Century Gothic" w:hAnsi="Century Gothic" w:cs="Arial"/>
          <w:bCs/>
          <w:lang w:val="es-ES"/>
        </w:rPr>
        <w:t xml:space="preserve"> gastarse en infraestructura núcleo (Educación, salud, carreteras </w:t>
      </w:r>
      <w:proofErr w:type="spellStart"/>
      <w:r w:rsidR="00EE5FDB" w:rsidRPr="00A041D2">
        <w:rPr>
          <w:rFonts w:ascii="Century Gothic" w:hAnsi="Century Gothic" w:cs="Arial"/>
          <w:bCs/>
          <w:lang w:val="es-ES"/>
        </w:rPr>
        <w:t>etc</w:t>
      </w:r>
      <w:proofErr w:type="spellEnd"/>
      <w:r w:rsidR="00EE5FDB" w:rsidRPr="00A041D2">
        <w:rPr>
          <w:rFonts w:ascii="Century Gothic" w:hAnsi="Century Gothic" w:cs="Arial"/>
          <w:bCs/>
          <w:lang w:val="es-ES"/>
        </w:rPr>
        <w:t>)</w:t>
      </w:r>
      <w:r w:rsidRPr="00A041D2">
        <w:rPr>
          <w:rFonts w:ascii="Century Gothic" w:hAnsi="Century Gothic" w:cs="Arial"/>
          <w:bCs/>
          <w:lang w:val="es-ES"/>
        </w:rPr>
        <w:t xml:space="preserve"> con lo que se podrá generar </w:t>
      </w:r>
      <w:r w:rsidR="00EE5FDB" w:rsidRPr="00A041D2">
        <w:rPr>
          <w:rFonts w:ascii="Century Gothic" w:hAnsi="Century Gothic" w:cs="Arial"/>
          <w:bCs/>
          <w:lang w:val="es-ES"/>
        </w:rPr>
        <w:t xml:space="preserve">desarrollo </w:t>
      </w:r>
      <w:r w:rsidRPr="00A041D2">
        <w:rPr>
          <w:rFonts w:ascii="Century Gothic" w:hAnsi="Century Gothic" w:cs="Arial"/>
          <w:bCs/>
          <w:lang w:val="es-ES"/>
        </w:rPr>
        <w:t xml:space="preserve">en el </w:t>
      </w:r>
      <w:r w:rsidR="00EE5FDB" w:rsidRPr="00A041D2">
        <w:rPr>
          <w:rFonts w:ascii="Century Gothic" w:hAnsi="Century Gothic" w:cs="Arial"/>
          <w:bCs/>
          <w:lang w:val="es-ES"/>
        </w:rPr>
        <w:t xml:space="preserve">país </w:t>
      </w:r>
      <w:r w:rsidR="0002780D" w:rsidRPr="00A041D2">
        <w:rPr>
          <w:rFonts w:ascii="Century Gothic" w:hAnsi="Century Gothic" w:cs="Arial"/>
          <w:bCs/>
          <w:lang w:val="es-ES"/>
        </w:rPr>
        <w:t xml:space="preserve">lo que permitirá amortizar las obligaciones financieras. Sin embargo, los recursos del cupo de endeudamiento </w:t>
      </w:r>
      <w:r w:rsidR="002D61D2" w:rsidRPr="00A041D2">
        <w:rPr>
          <w:rFonts w:ascii="Century Gothic" w:hAnsi="Century Gothic" w:cs="Arial"/>
          <w:bCs/>
          <w:lang w:val="es-ES"/>
        </w:rPr>
        <w:t>no desarrollarán la estructura productiva del país</w:t>
      </w:r>
      <w:r w:rsidR="0002780D" w:rsidRPr="00A041D2">
        <w:rPr>
          <w:rFonts w:ascii="Century Gothic" w:hAnsi="Century Gothic" w:cs="Arial"/>
          <w:bCs/>
          <w:lang w:val="es-ES"/>
        </w:rPr>
        <w:t xml:space="preserve">. </w:t>
      </w:r>
      <w:r w:rsidR="00EE5FDB" w:rsidRPr="00A041D2">
        <w:rPr>
          <w:rFonts w:ascii="Century Gothic" w:hAnsi="Century Gothic" w:cs="Arial"/>
          <w:bCs/>
          <w:lang w:val="es-ES"/>
        </w:rPr>
        <w:t xml:space="preserve">Como se observa en la siguiente tabla, </w:t>
      </w:r>
      <w:r w:rsidR="002D61D2" w:rsidRPr="00A041D2">
        <w:rPr>
          <w:rFonts w:ascii="Century Gothic" w:hAnsi="Century Gothic" w:cs="Arial"/>
          <w:bCs/>
          <w:lang w:val="es-ES"/>
        </w:rPr>
        <w:t>el pago de la</w:t>
      </w:r>
      <w:r w:rsidR="00EE5FDB" w:rsidRPr="00A041D2">
        <w:rPr>
          <w:rFonts w:ascii="Century Gothic" w:hAnsi="Century Gothic" w:cs="Arial"/>
          <w:bCs/>
          <w:lang w:val="es-ES"/>
        </w:rPr>
        <w:t xml:space="preserve"> deuda es el rubro que más crece </w:t>
      </w:r>
      <w:r w:rsidR="0002780D" w:rsidRPr="00A041D2">
        <w:rPr>
          <w:rFonts w:ascii="Century Gothic" w:hAnsi="Century Gothic" w:cs="Arial"/>
          <w:bCs/>
          <w:lang w:val="es-ES"/>
        </w:rPr>
        <w:t xml:space="preserve">en el presupuesto general del año </w:t>
      </w:r>
      <w:r w:rsidR="00EE5FDB" w:rsidRPr="00A041D2">
        <w:rPr>
          <w:rFonts w:ascii="Century Gothic" w:hAnsi="Century Gothic" w:cs="Arial"/>
          <w:bCs/>
          <w:lang w:val="es-ES"/>
        </w:rPr>
        <w:t xml:space="preserve">2021. Es decir, los recursos de endeudamiento </w:t>
      </w:r>
      <w:r w:rsidR="006F604A" w:rsidRPr="00A041D2">
        <w:rPr>
          <w:rFonts w:ascii="Century Gothic" w:hAnsi="Century Gothic" w:cs="Arial"/>
          <w:bCs/>
          <w:lang w:val="es-ES"/>
        </w:rPr>
        <w:t>que solicita el Gobierno s</w:t>
      </w:r>
      <w:r w:rsidR="00EE5FDB" w:rsidRPr="00A041D2">
        <w:rPr>
          <w:rFonts w:ascii="Century Gothic" w:hAnsi="Century Gothic" w:cs="Arial"/>
          <w:bCs/>
          <w:lang w:val="es-ES"/>
        </w:rPr>
        <w:t>on para pagar más deuda.</w:t>
      </w:r>
    </w:p>
    <w:p w14:paraId="17213D63" w14:textId="713CBF54" w:rsidR="00651ACA" w:rsidRDefault="00651ACA" w:rsidP="008628E5">
      <w:pPr>
        <w:spacing w:before="100" w:beforeAutospacing="1" w:after="100" w:afterAutospacing="1"/>
        <w:jc w:val="both"/>
        <w:rPr>
          <w:rFonts w:ascii="Century Gothic" w:hAnsi="Century Gothic" w:cs="Arial"/>
          <w:bCs/>
          <w:lang w:val="es-ES"/>
        </w:rPr>
      </w:pPr>
    </w:p>
    <w:p w14:paraId="4284DFFB" w14:textId="77777777" w:rsidR="00651ACA" w:rsidRPr="00A041D2" w:rsidRDefault="00651ACA" w:rsidP="008628E5">
      <w:pPr>
        <w:spacing w:before="100" w:beforeAutospacing="1" w:after="100" w:afterAutospacing="1"/>
        <w:jc w:val="both"/>
        <w:rPr>
          <w:rFonts w:ascii="Century Gothic" w:hAnsi="Century Gothic" w:cs="Arial"/>
          <w:bCs/>
          <w:lang w:val="es-ES"/>
        </w:rPr>
      </w:pPr>
    </w:p>
    <w:p w14:paraId="7511F885" w14:textId="4F737AD5" w:rsidR="00EE5FDB" w:rsidRPr="00A041D2" w:rsidRDefault="00EE5FDB" w:rsidP="00EE5FDB">
      <w:pPr>
        <w:rPr>
          <w:rFonts w:ascii="Century Gothic" w:hAnsi="Century Gothic"/>
          <w:lang w:val="es-ES"/>
        </w:rPr>
      </w:pPr>
      <w:r w:rsidRPr="00A041D2">
        <w:rPr>
          <w:rFonts w:ascii="Century Gothic" w:hAnsi="Century Gothic"/>
          <w:lang w:val="es-ES"/>
        </w:rPr>
        <w:t>Tabla. Gastos PGN 2021.</w:t>
      </w:r>
    </w:p>
    <w:p w14:paraId="4D78052B" w14:textId="77777777" w:rsidR="00EE5FDB" w:rsidRPr="00A041D2" w:rsidRDefault="00EE5FDB" w:rsidP="00EE5FDB">
      <w:pPr>
        <w:jc w:val="center"/>
        <w:rPr>
          <w:rFonts w:ascii="Century Gothic" w:hAnsi="Century Gothic"/>
          <w:lang w:val="es-ES"/>
        </w:rPr>
      </w:pPr>
    </w:p>
    <w:tbl>
      <w:tblPr>
        <w:tblStyle w:val="Tablaconcuadrcula3"/>
        <w:tblW w:w="9120" w:type="dxa"/>
        <w:tblLook w:val="04A0" w:firstRow="1" w:lastRow="0" w:firstColumn="1" w:lastColumn="0" w:noHBand="0" w:noVBand="1"/>
      </w:tblPr>
      <w:tblGrid>
        <w:gridCol w:w="5447"/>
        <w:gridCol w:w="1180"/>
        <w:gridCol w:w="1340"/>
        <w:gridCol w:w="1153"/>
      </w:tblGrid>
      <w:tr w:rsidR="00EE5FDB" w:rsidRPr="00A041D2" w14:paraId="5D1CAD21" w14:textId="77777777" w:rsidTr="004C4D95">
        <w:trPr>
          <w:trHeight w:val="540"/>
        </w:trPr>
        <w:tc>
          <w:tcPr>
            <w:tcW w:w="5520" w:type="dxa"/>
            <w:hideMark/>
          </w:tcPr>
          <w:p w14:paraId="106B3065" w14:textId="77777777" w:rsidR="00EE5FDB" w:rsidRPr="00A041D2" w:rsidRDefault="00EE5FDB" w:rsidP="004C4D95">
            <w:pPr>
              <w:jc w:val="center"/>
              <w:rPr>
                <w:rFonts w:ascii="Century Gothic" w:eastAsia="Times New Roman" w:hAnsi="Century Gothic"/>
                <w:bCs/>
                <w:color w:val="000000" w:themeColor="text1"/>
                <w:sz w:val="20"/>
                <w:szCs w:val="20"/>
                <w:lang w:val="es-ES"/>
              </w:rPr>
            </w:pPr>
            <w:r w:rsidRPr="00A041D2">
              <w:rPr>
                <w:rFonts w:ascii="Century Gothic" w:eastAsia="Times New Roman" w:hAnsi="Century Gothic"/>
                <w:bCs/>
                <w:color w:val="000000" w:themeColor="text1"/>
                <w:sz w:val="20"/>
                <w:szCs w:val="20"/>
                <w:lang w:val="es-ES"/>
              </w:rPr>
              <w:t>Concepto</w:t>
            </w:r>
          </w:p>
        </w:tc>
        <w:tc>
          <w:tcPr>
            <w:tcW w:w="1180" w:type="dxa"/>
            <w:hideMark/>
          </w:tcPr>
          <w:p w14:paraId="7B2C4A23" w14:textId="77777777" w:rsidR="00EE5FDB" w:rsidRPr="00A041D2" w:rsidRDefault="00EE5FDB" w:rsidP="004C4D95">
            <w:pPr>
              <w:jc w:val="center"/>
              <w:rPr>
                <w:rFonts w:ascii="Century Gothic" w:eastAsia="Times New Roman" w:hAnsi="Century Gothic"/>
                <w:bCs/>
                <w:color w:val="000000" w:themeColor="text1"/>
                <w:sz w:val="20"/>
                <w:szCs w:val="20"/>
                <w:lang w:val="es-ES"/>
              </w:rPr>
            </w:pPr>
            <w:r w:rsidRPr="00A041D2">
              <w:rPr>
                <w:rFonts w:ascii="Century Gothic" w:eastAsia="Times New Roman" w:hAnsi="Century Gothic"/>
                <w:bCs/>
                <w:color w:val="000000" w:themeColor="text1"/>
                <w:sz w:val="20"/>
                <w:szCs w:val="20"/>
                <w:lang w:val="es-ES"/>
              </w:rPr>
              <w:t>2020</w:t>
            </w:r>
          </w:p>
        </w:tc>
        <w:tc>
          <w:tcPr>
            <w:tcW w:w="1340" w:type="dxa"/>
            <w:hideMark/>
          </w:tcPr>
          <w:p w14:paraId="6D250A70" w14:textId="77777777" w:rsidR="00EE5FDB" w:rsidRPr="00A041D2" w:rsidRDefault="00EE5FDB" w:rsidP="004C4D95">
            <w:pPr>
              <w:jc w:val="center"/>
              <w:rPr>
                <w:rFonts w:ascii="Century Gothic" w:eastAsia="Times New Roman" w:hAnsi="Century Gothic"/>
                <w:color w:val="000000" w:themeColor="text1"/>
                <w:sz w:val="20"/>
                <w:szCs w:val="20"/>
                <w:lang w:val="es-ES"/>
              </w:rPr>
            </w:pPr>
            <w:r w:rsidRPr="00A041D2">
              <w:rPr>
                <w:rFonts w:ascii="Century Gothic" w:eastAsia="Times New Roman" w:hAnsi="Century Gothic"/>
                <w:color w:val="000000" w:themeColor="text1"/>
                <w:sz w:val="20"/>
                <w:szCs w:val="20"/>
                <w:lang w:val="es-ES"/>
              </w:rPr>
              <w:t>2021</w:t>
            </w:r>
          </w:p>
        </w:tc>
        <w:tc>
          <w:tcPr>
            <w:tcW w:w="1080" w:type="dxa"/>
            <w:hideMark/>
          </w:tcPr>
          <w:p w14:paraId="410E4FEA" w14:textId="77777777" w:rsidR="00EE5FDB" w:rsidRPr="00A041D2" w:rsidRDefault="00EE5FDB" w:rsidP="004C4D95">
            <w:pPr>
              <w:jc w:val="center"/>
              <w:rPr>
                <w:rFonts w:ascii="Century Gothic" w:eastAsia="Times New Roman" w:hAnsi="Century Gothic"/>
                <w:color w:val="000000" w:themeColor="text1"/>
                <w:sz w:val="20"/>
                <w:szCs w:val="20"/>
                <w:lang w:val="es-ES"/>
              </w:rPr>
            </w:pPr>
            <w:r w:rsidRPr="00A041D2">
              <w:rPr>
                <w:rFonts w:ascii="Century Gothic" w:eastAsia="Times New Roman" w:hAnsi="Century Gothic"/>
                <w:color w:val="000000" w:themeColor="text1"/>
                <w:sz w:val="20"/>
                <w:szCs w:val="20"/>
                <w:lang w:val="es-ES"/>
              </w:rPr>
              <w:t>Variación</w:t>
            </w:r>
          </w:p>
        </w:tc>
      </w:tr>
      <w:tr w:rsidR="00EE5FDB" w:rsidRPr="00A041D2" w14:paraId="28C0C3D1" w14:textId="77777777" w:rsidTr="004C4D95">
        <w:trPr>
          <w:trHeight w:val="810"/>
        </w:trPr>
        <w:tc>
          <w:tcPr>
            <w:tcW w:w="5520" w:type="dxa"/>
            <w:hideMark/>
          </w:tcPr>
          <w:p w14:paraId="302AC51F" w14:textId="77777777" w:rsidR="00EE5FDB" w:rsidRPr="00A041D2" w:rsidRDefault="00EE5FDB" w:rsidP="004C4D95">
            <w:pPr>
              <w:jc w:val="center"/>
              <w:rPr>
                <w:rFonts w:ascii="Century Gothic" w:eastAsia="Times New Roman" w:hAnsi="Century Gothic"/>
                <w:bCs/>
                <w:color w:val="000000" w:themeColor="text1"/>
                <w:sz w:val="20"/>
                <w:szCs w:val="20"/>
                <w:lang w:val="es-ES"/>
              </w:rPr>
            </w:pPr>
            <w:r w:rsidRPr="00A041D2">
              <w:rPr>
                <w:rFonts w:ascii="Century Gothic" w:eastAsia="Times New Roman" w:hAnsi="Century Gothic"/>
                <w:bCs/>
                <w:color w:val="000000" w:themeColor="text1"/>
                <w:sz w:val="20"/>
                <w:szCs w:val="20"/>
                <w:lang w:val="es-ES"/>
              </w:rPr>
              <w:t>FUNCIONAMIENTO</w:t>
            </w:r>
          </w:p>
        </w:tc>
        <w:tc>
          <w:tcPr>
            <w:tcW w:w="1180" w:type="dxa"/>
            <w:noWrap/>
            <w:hideMark/>
          </w:tcPr>
          <w:p w14:paraId="73D912F2" w14:textId="77777777" w:rsidR="00EE5FDB" w:rsidRPr="00A041D2" w:rsidRDefault="00EE5FDB" w:rsidP="004C4D95">
            <w:pPr>
              <w:jc w:val="center"/>
              <w:rPr>
                <w:rFonts w:ascii="Century Gothic" w:eastAsia="Times New Roman" w:hAnsi="Century Gothic"/>
                <w:bCs/>
                <w:color w:val="000000" w:themeColor="text1"/>
                <w:sz w:val="20"/>
                <w:szCs w:val="20"/>
                <w:lang w:val="es-ES"/>
              </w:rPr>
            </w:pPr>
            <w:r w:rsidRPr="00A041D2">
              <w:rPr>
                <w:rFonts w:ascii="Century Gothic" w:eastAsia="Times New Roman" w:hAnsi="Century Gothic"/>
                <w:bCs/>
                <w:color w:val="000000" w:themeColor="text1"/>
                <w:sz w:val="20"/>
                <w:szCs w:val="20"/>
                <w:lang w:val="es-ES"/>
              </w:rPr>
              <w:t>166,714</w:t>
            </w:r>
          </w:p>
        </w:tc>
        <w:tc>
          <w:tcPr>
            <w:tcW w:w="1340" w:type="dxa"/>
            <w:noWrap/>
            <w:hideMark/>
          </w:tcPr>
          <w:p w14:paraId="69B8C233" w14:textId="77777777" w:rsidR="00EE5FDB" w:rsidRPr="00A041D2" w:rsidRDefault="00EE5FDB" w:rsidP="004C4D95">
            <w:pPr>
              <w:jc w:val="center"/>
              <w:rPr>
                <w:rFonts w:ascii="Century Gothic" w:eastAsia="Times New Roman" w:hAnsi="Century Gothic"/>
                <w:bCs/>
                <w:color w:val="000000" w:themeColor="text1"/>
                <w:sz w:val="20"/>
                <w:szCs w:val="20"/>
                <w:lang w:val="es-ES"/>
              </w:rPr>
            </w:pPr>
            <w:r w:rsidRPr="00A041D2">
              <w:rPr>
                <w:rFonts w:ascii="Century Gothic" w:eastAsia="Times New Roman" w:hAnsi="Century Gothic"/>
                <w:bCs/>
                <w:color w:val="000000" w:themeColor="text1"/>
                <w:sz w:val="20"/>
                <w:szCs w:val="20"/>
                <w:lang w:val="es-ES"/>
              </w:rPr>
              <w:t>184,651</w:t>
            </w:r>
          </w:p>
        </w:tc>
        <w:tc>
          <w:tcPr>
            <w:tcW w:w="1080" w:type="dxa"/>
            <w:noWrap/>
            <w:hideMark/>
          </w:tcPr>
          <w:p w14:paraId="6FFF1B21" w14:textId="77777777" w:rsidR="00EE5FDB" w:rsidRPr="00A041D2" w:rsidRDefault="00EE5FDB" w:rsidP="004C4D95">
            <w:pPr>
              <w:rPr>
                <w:rFonts w:ascii="Century Gothic" w:eastAsia="Times New Roman" w:hAnsi="Century Gothic"/>
                <w:color w:val="000000" w:themeColor="text1"/>
                <w:sz w:val="20"/>
                <w:szCs w:val="20"/>
                <w:lang w:val="es-ES"/>
              </w:rPr>
            </w:pPr>
            <w:r w:rsidRPr="00A041D2">
              <w:rPr>
                <w:rFonts w:ascii="Century Gothic" w:eastAsia="Times New Roman" w:hAnsi="Century Gothic"/>
                <w:color w:val="000000" w:themeColor="text1"/>
                <w:sz w:val="20"/>
                <w:szCs w:val="20"/>
                <w:lang w:val="es-ES"/>
              </w:rPr>
              <w:t>10,76%</w:t>
            </w:r>
          </w:p>
        </w:tc>
      </w:tr>
      <w:tr w:rsidR="00EE5FDB" w:rsidRPr="00A041D2" w14:paraId="59399FD5" w14:textId="77777777" w:rsidTr="004C4D95">
        <w:trPr>
          <w:trHeight w:val="270"/>
        </w:trPr>
        <w:tc>
          <w:tcPr>
            <w:tcW w:w="5520" w:type="dxa"/>
            <w:hideMark/>
          </w:tcPr>
          <w:p w14:paraId="0624E21A" w14:textId="77777777" w:rsidR="00EE5FDB" w:rsidRPr="00A041D2" w:rsidRDefault="00EE5FDB" w:rsidP="004C4D95">
            <w:pPr>
              <w:jc w:val="center"/>
              <w:rPr>
                <w:rFonts w:ascii="Century Gothic" w:eastAsia="Times New Roman" w:hAnsi="Century Gothic"/>
                <w:bCs/>
                <w:color w:val="000000" w:themeColor="text1"/>
                <w:sz w:val="20"/>
                <w:szCs w:val="20"/>
                <w:lang w:val="es-ES"/>
              </w:rPr>
            </w:pPr>
            <w:r w:rsidRPr="00A041D2">
              <w:rPr>
                <w:rFonts w:ascii="Century Gothic" w:eastAsia="Times New Roman" w:hAnsi="Century Gothic"/>
                <w:bCs/>
                <w:color w:val="000000" w:themeColor="text1"/>
                <w:sz w:val="20"/>
                <w:szCs w:val="20"/>
                <w:lang w:val="es-ES"/>
              </w:rPr>
              <w:t>DEUDA</w:t>
            </w:r>
          </w:p>
        </w:tc>
        <w:tc>
          <w:tcPr>
            <w:tcW w:w="1180" w:type="dxa"/>
            <w:noWrap/>
            <w:hideMark/>
          </w:tcPr>
          <w:p w14:paraId="5002A343" w14:textId="77777777" w:rsidR="00EE5FDB" w:rsidRPr="00A041D2" w:rsidRDefault="00EE5FDB" w:rsidP="004C4D95">
            <w:pPr>
              <w:jc w:val="center"/>
              <w:rPr>
                <w:rFonts w:ascii="Century Gothic" w:eastAsia="Times New Roman" w:hAnsi="Century Gothic"/>
                <w:bCs/>
                <w:color w:val="000000" w:themeColor="text1"/>
                <w:sz w:val="20"/>
                <w:szCs w:val="20"/>
                <w:lang w:val="es-ES"/>
              </w:rPr>
            </w:pPr>
            <w:r w:rsidRPr="00A041D2">
              <w:rPr>
                <w:rFonts w:ascii="Century Gothic" w:eastAsia="Times New Roman" w:hAnsi="Century Gothic"/>
                <w:bCs/>
                <w:color w:val="000000" w:themeColor="text1"/>
                <w:sz w:val="20"/>
                <w:szCs w:val="20"/>
                <w:lang w:val="es-ES"/>
              </w:rPr>
              <w:t>53,614</w:t>
            </w:r>
          </w:p>
        </w:tc>
        <w:tc>
          <w:tcPr>
            <w:tcW w:w="1340" w:type="dxa"/>
            <w:noWrap/>
            <w:hideMark/>
          </w:tcPr>
          <w:p w14:paraId="103E1470" w14:textId="77777777" w:rsidR="00EE5FDB" w:rsidRPr="00A041D2" w:rsidRDefault="00EE5FDB" w:rsidP="004C4D95">
            <w:pPr>
              <w:jc w:val="center"/>
              <w:rPr>
                <w:rFonts w:ascii="Century Gothic" w:eastAsia="Times New Roman" w:hAnsi="Century Gothic"/>
                <w:bCs/>
                <w:color w:val="000000" w:themeColor="text1"/>
                <w:sz w:val="20"/>
                <w:szCs w:val="20"/>
                <w:lang w:val="es-ES"/>
              </w:rPr>
            </w:pPr>
            <w:r w:rsidRPr="00A041D2">
              <w:rPr>
                <w:rFonts w:ascii="Century Gothic" w:eastAsia="Times New Roman" w:hAnsi="Century Gothic"/>
                <w:bCs/>
                <w:color w:val="000000" w:themeColor="text1"/>
                <w:sz w:val="20"/>
                <w:szCs w:val="20"/>
                <w:lang w:val="es-ES"/>
              </w:rPr>
              <w:t>72,559</w:t>
            </w:r>
          </w:p>
        </w:tc>
        <w:tc>
          <w:tcPr>
            <w:tcW w:w="1080" w:type="dxa"/>
            <w:noWrap/>
            <w:hideMark/>
          </w:tcPr>
          <w:p w14:paraId="38A2D106" w14:textId="77777777" w:rsidR="00EE5FDB" w:rsidRPr="00A041D2" w:rsidRDefault="00EE5FDB" w:rsidP="004C4D95">
            <w:pPr>
              <w:rPr>
                <w:rFonts w:ascii="Century Gothic" w:eastAsia="Times New Roman" w:hAnsi="Century Gothic"/>
                <w:color w:val="000000" w:themeColor="text1"/>
                <w:sz w:val="20"/>
                <w:szCs w:val="20"/>
                <w:lang w:val="es-ES"/>
              </w:rPr>
            </w:pPr>
            <w:r w:rsidRPr="00A041D2">
              <w:rPr>
                <w:rFonts w:ascii="Century Gothic" w:eastAsia="Times New Roman" w:hAnsi="Century Gothic"/>
                <w:color w:val="000000" w:themeColor="text1"/>
                <w:sz w:val="20"/>
                <w:szCs w:val="20"/>
                <w:lang w:val="es-ES"/>
              </w:rPr>
              <w:t>35,34%</w:t>
            </w:r>
          </w:p>
        </w:tc>
      </w:tr>
      <w:tr w:rsidR="00EE5FDB" w:rsidRPr="00A041D2" w14:paraId="6AE8CF19" w14:textId="77777777" w:rsidTr="004C4D95">
        <w:trPr>
          <w:trHeight w:val="205"/>
        </w:trPr>
        <w:tc>
          <w:tcPr>
            <w:tcW w:w="5520" w:type="dxa"/>
            <w:hideMark/>
          </w:tcPr>
          <w:p w14:paraId="12B58141" w14:textId="77777777" w:rsidR="00EE5FDB" w:rsidRPr="00A041D2" w:rsidRDefault="00EE5FDB" w:rsidP="004C4D95">
            <w:pPr>
              <w:jc w:val="center"/>
              <w:rPr>
                <w:rFonts w:ascii="Century Gothic" w:eastAsia="Times New Roman" w:hAnsi="Century Gothic"/>
                <w:bCs/>
                <w:color w:val="000000" w:themeColor="text1"/>
                <w:sz w:val="20"/>
                <w:szCs w:val="20"/>
                <w:lang w:val="es-ES"/>
              </w:rPr>
            </w:pPr>
            <w:r w:rsidRPr="00A041D2">
              <w:rPr>
                <w:rFonts w:ascii="Century Gothic" w:eastAsia="Times New Roman" w:hAnsi="Century Gothic"/>
                <w:bCs/>
                <w:color w:val="000000" w:themeColor="text1"/>
                <w:sz w:val="20"/>
                <w:szCs w:val="20"/>
                <w:lang w:val="es-ES"/>
              </w:rPr>
              <w:t>INVERSIÓN</w:t>
            </w:r>
          </w:p>
        </w:tc>
        <w:tc>
          <w:tcPr>
            <w:tcW w:w="1180" w:type="dxa"/>
            <w:noWrap/>
            <w:hideMark/>
          </w:tcPr>
          <w:p w14:paraId="582C4A0B" w14:textId="77777777" w:rsidR="00EE5FDB" w:rsidRPr="00A041D2" w:rsidRDefault="00EE5FDB" w:rsidP="004C4D95">
            <w:pPr>
              <w:jc w:val="center"/>
              <w:rPr>
                <w:rFonts w:ascii="Century Gothic" w:eastAsia="Times New Roman" w:hAnsi="Century Gothic"/>
                <w:bCs/>
                <w:color w:val="000000" w:themeColor="text1"/>
                <w:sz w:val="20"/>
                <w:szCs w:val="20"/>
                <w:lang w:val="es-ES"/>
              </w:rPr>
            </w:pPr>
            <w:r w:rsidRPr="00A041D2">
              <w:rPr>
                <w:rFonts w:ascii="Century Gothic" w:eastAsia="Times New Roman" w:hAnsi="Century Gothic"/>
                <w:bCs/>
                <w:color w:val="000000" w:themeColor="text1"/>
                <w:sz w:val="20"/>
                <w:szCs w:val="20"/>
                <w:lang w:val="es-ES"/>
              </w:rPr>
              <w:t>43,132</w:t>
            </w:r>
          </w:p>
        </w:tc>
        <w:tc>
          <w:tcPr>
            <w:tcW w:w="1340" w:type="dxa"/>
            <w:noWrap/>
            <w:hideMark/>
          </w:tcPr>
          <w:p w14:paraId="36216103" w14:textId="77777777" w:rsidR="00EE5FDB" w:rsidRPr="00A041D2" w:rsidRDefault="00EE5FDB" w:rsidP="004C4D95">
            <w:pPr>
              <w:jc w:val="center"/>
              <w:rPr>
                <w:rFonts w:ascii="Century Gothic" w:eastAsia="Times New Roman" w:hAnsi="Century Gothic"/>
                <w:bCs/>
                <w:color w:val="000000" w:themeColor="text1"/>
                <w:sz w:val="20"/>
                <w:szCs w:val="20"/>
                <w:lang w:val="es-ES"/>
              </w:rPr>
            </w:pPr>
            <w:r w:rsidRPr="00A041D2">
              <w:rPr>
                <w:rFonts w:ascii="Century Gothic" w:eastAsia="Times New Roman" w:hAnsi="Century Gothic"/>
                <w:bCs/>
                <w:color w:val="000000" w:themeColor="text1"/>
                <w:sz w:val="20"/>
                <w:szCs w:val="20"/>
                <w:lang w:val="es-ES"/>
              </w:rPr>
              <w:t>56,788</w:t>
            </w:r>
          </w:p>
        </w:tc>
        <w:tc>
          <w:tcPr>
            <w:tcW w:w="1080" w:type="dxa"/>
            <w:noWrap/>
            <w:hideMark/>
          </w:tcPr>
          <w:p w14:paraId="399381D6" w14:textId="77777777" w:rsidR="00EE5FDB" w:rsidRPr="00A041D2" w:rsidRDefault="00EE5FDB" w:rsidP="004C4D95">
            <w:pPr>
              <w:rPr>
                <w:rFonts w:ascii="Century Gothic" w:eastAsia="Times New Roman" w:hAnsi="Century Gothic"/>
                <w:color w:val="000000" w:themeColor="text1"/>
                <w:sz w:val="20"/>
                <w:szCs w:val="20"/>
                <w:lang w:val="es-ES"/>
              </w:rPr>
            </w:pPr>
            <w:r w:rsidRPr="00A041D2">
              <w:rPr>
                <w:rFonts w:ascii="Century Gothic" w:eastAsia="Times New Roman" w:hAnsi="Century Gothic"/>
                <w:color w:val="000000" w:themeColor="text1"/>
                <w:sz w:val="20"/>
                <w:szCs w:val="20"/>
                <w:lang w:val="es-ES"/>
              </w:rPr>
              <w:t>31,66%</w:t>
            </w:r>
          </w:p>
        </w:tc>
      </w:tr>
      <w:tr w:rsidR="00EE5FDB" w:rsidRPr="00A041D2" w14:paraId="14A6072E" w14:textId="77777777" w:rsidTr="004C4D95">
        <w:trPr>
          <w:trHeight w:val="270"/>
        </w:trPr>
        <w:tc>
          <w:tcPr>
            <w:tcW w:w="5520" w:type="dxa"/>
            <w:hideMark/>
          </w:tcPr>
          <w:p w14:paraId="005DE28E" w14:textId="77777777" w:rsidR="00EE5FDB" w:rsidRPr="00A041D2" w:rsidRDefault="00EE5FDB" w:rsidP="004C4D95">
            <w:pPr>
              <w:jc w:val="center"/>
              <w:rPr>
                <w:rFonts w:ascii="Century Gothic" w:eastAsia="Times New Roman" w:hAnsi="Century Gothic"/>
                <w:bCs/>
                <w:color w:val="000000" w:themeColor="text1"/>
                <w:sz w:val="20"/>
                <w:szCs w:val="20"/>
                <w:lang w:val="es-ES"/>
              </w:rPr>
            </w:pPr>
            <w:r w:rsidRPr="00A041D2">
              <w:rPr>
                <w:rFonts w:ascii="Century Gothic" w:eastAsia="Times New Roman" w:hAnsi="Century Gothic"/>
                <w:bCs/>
                <w:color w:val="000000" w:themeColor="text1"/>
                <w:sz w:val="20"/>
                <w:szCs w:val="20"/>
                <w:lang w:val="es-ES"/>
              </w:rPr>
              <w:t>TOTAL</w:t>
            </w:r>
          </w:p>
        </w:tc>
        <w:tc>
          <w:tcPr>
            <w:tcW w:w="1180" w:type="dxa"/>
            <w:noWrap/>
            <w:hideMark/>
          </w:tcPr>
          <w:p w14:paraId="2CC9076D" w14:textId="77777777" w:rsidR="00EE5FDB" w:rsidRPr="00A041D2" w:rsidRDefault="00EE5FDB" w:rsidP="004C4D95">
            <w:pPr>
              <w:jc w:val="center"/>
              <w:rPr>
                <w:rFonts w:ascii="Century Gothic" w:eastAsia="Times New Roman" w:hAnsi="Century Gothic"/>
                <w:bCs/>
                <w:color w:val="000000" w:themeColor="text1"/>
                <w:sz w:val="20"/>
                <w:szCs w:val="20"/>
                <w:lang w:val="es-ES"/>
              </w:rPr>
            </w:pPr>
            <w:r w:rsidRPr="00A041D2">
              <w:rPr>
                <w:rFonts w:ascii="Century Gothic" w:eastAsia="Times New Roman" w:hAnsi="Century Gothic"/>
                <w:bCs/>
                <w:color w:val="000000" w:themeColor="text1"/>
                <w:sz w:val="20"/>
                <w:szCs w:val="20"/>
                <w:lang w:val="es-ES"/>
              </w:rPr>
              <w:t>263,459</w:t>
            </w:r>
          </w:p>
        </w:tc>
        <w:tc>
          <w:tcPr>
            <w:tcW w:w="1340" w:type="dxa"/>
            <w:noWrap/>
            <w:hideMark/>
          </w:tcPr>
          <w:p w14:paraId="372EB006" w14:textId="77777777" w:rsidR="00EE5FDB" w:rsidRPr="00A041D2" w:rsidRDefault="00EE5FDB" w:rsidP="004C4D95">
            <w:pPr>
              <w:jc w:val="center"/>
              <w:rPr>
                <w:rFonts w:ascii="Century Gothic" w:eastAsia="Times New Roman" w:hAnsi="Century Gothic"/>
                <w:bCs/>
                <w:color w:val="000000" w:themeColor="text1"/>
                <w:sz w:val="20"/>
                <w:szCs w:val="20"/>
                <w:lang w:val="es-ES"/>
              </w:rPr>
            </w:pPr>
            <w:r w:rsidRPr="00A041D2">
              <w:rPr>
                <w:rFonts w:ascii="Century Gothic" w:eastAsia="Times New Roman" w:hAnsi="Century Gothic"/>
                <w:bCs/>
                <w:color w:val="000000" w:themeColor="text1"/>
                <w:sz w:val="20"/>
                <w:szCs w:val="20"/>
                <w:lang w:val="es-ES"/>
              </w:rPr>
              <w:t>313,998</w:t>
            </w:r>
          </w:p>
        </w:tc>
        <w:tc>
          <w:tcPr>
            <w:tcW w:w="1080" w:type="dxa"/>
            <w:noWrap/>
            <w:hideMark/>
          </w:tcPr>
          <w:p w14:paraId="1523ACBA" w14:textId="77777777" w:rsidR="00EE5FDB" w:rsidRPr="00A041D2" w:rsidRDefault="00EE5FDB" w:rsidP="004C4D95">
            <w:pPr>
              <w:rPr>
                <w:rFonts w:ascii="Century Gothic" w:eastAsia="Times New Roman" w:hAnsi="Century Gothic"/>
                <w:color w:val="000000" w:themeColor="text1"/>
                <w:sz w:val="20"/>
                <w:szCs w:val="20"/>
                <w:lang w:val="es-ES"/>
              </w:rPr>
            </w:pPr>
            <w:r w:rsidRPr="00A041D2">
              <w:rPr>
                <w:rFonts w:ascii="Century Gothic" w:eastAsia="Times New Roman" w:hAnsi="Century Gothic"/>
                <w:color w:val="000000" w:themeColor="text1"/>
                <w:sz w:val="20"/>
                <w:szCs w:val="20"/>
                <w:lang w:val="es-ES"/>
              </w:rPr>
              <w:t>19,18%</w:t>
            </w:r>
          </w:p>
        </w:tc>
      </w:tr>
      <w:tr w:rsidR="00EE5FDB" w:rsidRPr="00A041D2" w14:paraId="025B41F1" w14:textId="77777777" w:rsidTr="004C4D95">
        <w:trPr>
          <w:trHeight w:val="270"/>
        </w:trPr>
        <w:tc>
          <w:tcPr>
            <w:tcW w:w="5520" w:type="dxa"/>
            <w:hideMark/>
          </w:tcPr>
          <w:p w14:paraId="406E3E9C" w14:textId="77777777" w:rsidR="00EE5FDB" w:rsidRPr="00A041D2" w:rsidRDefault="00EE5FDB" w:rsidP="004C4D95">
            <w:pPr>
              <w:jc w:val="center"/>
              <w:rPr>
                <w:rFonts w:ascii="Century Gothic" w:eastAsia="Times New Roman" w:hAnsi="Century Gothic"/>
                <w:bCs/>
                <w:color w:val="000000" w:themeColor="text1"/>
                <w:sz w:val="20"/>
                <w:szCs w:val="20"/>
                <w:lang w:val="es-ES"/>
              </w:rPr>
            </w:pPr>
            <w:r w:rsidRPr="00A041D2">
              <w:rPr>
                <w:rFonts w:ascii="Century Gothic" w:eastAsia="Times New Roman" w:hAnsi="Century Gothic"/>
                <w:bCs/>
                <w:color w:val="000000" w:themeColor="text1"/>
                <w:sz w:val="20"/>
                <w:szCs w:val="20"/>
                <w:lang w:val="es-ES"/>
              </w:rPr>
              <w:t>TOTAL SIN DEUDA</w:t>
            </w:r>
          </w:p>
        </w:tc>
        <w:tc>
          <w:tcPr>
            <w:tcW w:w="1180" w:type="dxa"/>
            <w:noWrap/>
            <w:hideMark/>
          </w:tcPr>
          <w:p w14:paraId="6064CAC6" w14:textId="77777777" w:rsidR="00EE5FDB" w:rsidRPr="00A041D2" w:rsidRDefault="00EE5FDB" w:rsidP="004C4D95">
            <w:pPr>
              <w:jc w:val="center"/>
              <w:rPr>
                <w:rFonts w:ascii="Century Gothic" w:eastAsia="Times New Roman" w:hAnsi="Century Gothic"/>
                <w:bCs/>
                <w:color w:val="000000" w:themeColor="text1"/>
                <w:sz w:val="20"/>
                <w:szCs w:val="20"/>
                <w:lang w:val="es-ES"/>
              </w:rPr>
            </w:pPr>
            <w:r w:rsidRPr="00A041D2">
              <w:rPr>
                <w:rFonts w:ascii="Century Gothic" w:eastAsia="Times New Roman" w:hAnsi="Century Gothic"/>
                <w:bCs/>
                <w:color w:val="000000" w:themeColor="text1"/>
                <w:sz w:val="20"/>
                <w:szCs w:val="20"/>
                <w:lang w:val="es-ES"/>
              </w:rPr>
              <w:t>209,845</w:t>
            </w:r>
          </w:p>
        </w:tc>
        <w:tc>
          <w:tcPr>
            <w:tcW w:w="1340" w:type="dxa"/>
            <w:noWrap/>
            <w:hideMark/>
          </w:tcPr>
          <w:p w14:paraId="15C4018C" w14:textId="77777777" w:rsidR="00EE5FDB" w:rsidRPr="00A041D2" w:rsidRDefault="00EE5FDB" w:rsidP="004C4D95">
            <w:pPr>
              <w:jc w:val="center"/>
              <w:rPr>
                <w:rFonts w:ascii="Century Gothic" w:eastAsia="Times New Roman" w:hAnsi="Century Gothic"/>
                <w:bCs/>
                <w:color w:val="000000" w:themeColor="text1"/>
                <w:sz w:val="20"/>
                <w:szCs w:val="20"/>
                <w:lang w:val="es-ES"/>
              </w:rPr>
            </w:pPr>
            <w:r w:rsidRPr="00A041D2">
              <w:rPr>
                <w:rFonts w:ascii="Century Gothic" w:eastAsia="Times New Roman" w:hAnsi="Century Gothic"/>
                <w:bCs/>
                <w:color w:val="000000" w:themeColor="text1"/>
                <w:sz w:val="20"/>
                <w:szCs w:val="20"/>
                <w:lang w:val="es-ES"/>
              </w:rPr>
              <w:t>241,439</w:t>
            </w:r>
          </w:p>
        </w:tc>
        <w:tc>
          <w:tcPr>
            <w:tcW w:w="1080" w:type="dxa"/>
            <w:noWrap/>
            <w:hideMark/>
          </w:tcPr>
          <w:p w14:paraId="1B7C15C1" w14:textId="77777777" w:rsidR="00EE5FDB" w:rsidRPr="00A041D2" w:rsidRDefault="00EE5FDB" w:rsidP="004C4D95">
            <w:pPr>
              <w:rPr>
                <w:rFonts w:ascii="Century Gothic" w:eastAsia="Times New Roman" w:hAnsi="Century Gothic"/>
                <w:color w:val="000000" w:themeColor="text1"/>
                <w:sz w:val="20"/>
                <w:szCs w:val="20"/>
                <w:lang w:val="es-ES"/>
              </w:rPr>
            </w:pPr>
            <w:r w:rsidRPr="00A041D2">
              <w:rPr>
                <w:rFonts w:ascii="Century Gothic" w:eastAsia="Times New Roman" w:hAnsi="Century Gothic"/>
                <w:color w:val="000000" w:themeColor="text1"/>
                <w:sz w:val="20"/>
                <w:szCs w:val="20"/>
                <w:lang w:val="es-ES"/>
              </w:rPr>
              <w:t>15,06%</w:t>
            </w:r>
          </w:p>
        </w:tc>
      </w:tr>
    </w:tbl>
    <w:p w14:paraId="180C5E07" w14:textId="777304E7" w:rsidR="002D61D2" w:rsidRDefault="00EE5FDB" w:rsidP="00651ACA">
      <w:pPr>
        <w:jc w:val="center"/>
        <w:rPr>
          <w:rFonts w:ascii="Century Gothic" w:hAnsi="Century Gothic"/>
          <w:lang w:val="es-ES"/>
        </w:rPr>
      </w:pPr>
      <w:r w:rsidRPr="00A041D2">
        <w:rPr>
          <w:rFonts w:ascii="Century Gothic" w:hAnsi="Century Gothic"/>
          <w:lang w:val="es-ES"/>
        </w:rPr>
        <w:t>Fuente: Min Hacienda (2020)</w:t>
      </w:r>
    </w:p>
    <w:p w14:paraId="129002C3" w14:textId="77777777" w:rsidR="00651ACA" w:rsidRPr="00651ACA" w:rsidRDefault="00651ACA" w:rsidP="00651ACA">
      <w:pPr>
        <w:jc w:val="center"/>
        <w:rPr>
          <w:rFonts w:ascii="Century Gothic" w:hAnsi="Century Gothic"/>
          <w:lang w:val="es-ES"/>
        </w:rPr>
      </w:pPr>
    </w:p>
    <w:p w14:paraId="471B156E" w14:textId="183222E3" w:rsidR="00EE5FDB" w:rsidRPr="00A041D2" w:rsidRDefault="0066754A" w:rsidP="008628E5">
      <w:pPr>
        <w:spacing w:before="100" w:beforeAutospacing="1" w:after="100" w:afterAutospacing="1"/>
        <w:jc w:val="both"/>
        <w:rPr>
          <w:rFonts w:ascii="Century Gothic" w:hAnsi="Century Gothic" w:cs="Arial"/>
          <w:bCs/>
          <w:lang w:val="es-ES"/>
        </w:rPr>
      </w:pPr>
      <w:r w:rsidRPr="00A041D2">
        <w:rPr>
          <w:rFonts w:ascii="Century Gothic" w:hAnsi="Century Gothic" w:cs="Arial"/>
          <w:bCs/>
          <w:lang w:val="es-ES"/>
        </w:rPr>
        <w:t>Preocupa que en el plan de reactivación económica para el año 2021 se contemplen 4 billones de pesos</w:t>
      </w:r>
      <w:r w:rsidR="002D61D2" w:rsidRPr="00A041D2">
        <w:rPr>
          <w:rFonts w:ascii="Century Gothic" w:hAnsi="Century Gothic" w:cs="Arial"/>
          <w:bCs/>
          <w:lang w:val="es-ES"/>
        </w:rPr>
        <w:t xml:space="preserve"> de gasto</w:t>
      </w:r>
      <w:r w:rsidRPr="00A041D2">
        <w:rPr>
          <w:rFonts w:ascii="Century Gothic" w:hAnsi="Century Gothic" w:cs="Arial"/>
          <w:bCs/>
          <w:lang w:val="es-ES"/>
        </w:rPr>
        <w:t xml:space="preserve"> mientras que para</w:t>
      </w:r>
      <w:r w:rsidR="0002780D" w:rsidRPr="00A041D2">
        <w:rPr>
          <w:rFonts w:ascii="Century Gothic" w:hAnsi="Century Gothic" w:cs="Arial"/>
          <w:bCs/>
          <w:lang w:val="es-ES"/>
        </w:rPr>
        <w:t xml:space="preserve"> el pago</w:t>
      </w:r>
      <w:r w:rsidRPr="00A041D2">
        <w:rPr>
          <w:rFonts w:ascii="Century Gothic" w:hAnsi="Century Gothic" w:cs="Arial"/>
          <w:bCs/>
          <w:lang w:val="es-ES"/>
        </w:rPr>
        <w:t xml:space="preserve"> deuda se </w:t>
      </w:r>
      <w:r w:rsidR="0002780D" w:rsidRPr="00A041D2">
        <w:rPr>
          <w:rFonts w:ascii="Century Gothic" w:hAnsi="Century Gothic" w:cs="Arial"/>
          <w:bCs/>
          <w:lang w:val="es-ES"/>
        </w:rPr>
        <w:t xml:space="preserve">quiera </w:t>
      </w:r>
      <w:r w:rsidRPr="00A041D2">
        <w:rPr>
          <w:rFonts w:ascii="Century Gothic" w:hAnsi="Century Gothic" w:cs="Arial"/>
          <w:bCs/>
          <w:lang w:val="es-ES"/>
        </w:rPr>
        <w:t>gastar 72 billones de pesos</w:t>
      </w:r>
    </w:p>
    <w:p w14:paraId="78184C5A" w14:textId="573616B9" w:rsidR="0066754A" w:rsidRPr="00A041D2" w:rsidRDefault="0066754A" w:rsidP="0066754A">
      <w:pPr>
        <w:spacing w:before="100" w:beforeAutospacing="1" w:after="100" w:afterAutospacing="1"/>
        <w:jc w:val="center"/>
        <w:rPr>
          <w:rFonts w:ascii="Century Gothic" w:hAnsi="Century Gothic" w:cs="Arial"/>
          <w:bCs/>
          <w:lang w:val="es-ES"/>
        </w:rPr>
      </w:pPr>
      <w:r w:rsidRPr="00A041D2">
        <w:rPr>
          <w:rFonts w:ascii="Century Gothic" w:hAnsi="Century Gothic"/>
          <w:noProof/>
          <w:lang w:val="es-ES"/>
        </w:rPr>
        <w:drawing>
          <wp:inline distT="0" distB="0" distL="0" distR="0" wp14:anchorId="5112A520" wp14:editId="5355A85F">
            <wp:extent cx="4043265" cy="265616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a de pantalla 2020-08-15 a la(s) 12.20.08 p. m..png"/>
                    <pic:cNvPicPr/>
                  </pic:nvPicPr>
                  <pic:blipFill>
                    <a:blip r:embed="rId20">
                      <a:extLst>
                        <a:ext uri="{28A0092B-C50C-407E-A947-70E740481C1C}">
                          <a14:useLocalDpi xmlns:a14="http://schemas.microsoft.com/office/drawing/2010/main" val="0"/>
                        </a:ext>
                      </a:extLst>
                    </a:blip>
                    <a:stretch>
                      <a:fillRect/>
                    </a:stretch>
                  </pic:blipFill>
                  <pic:spPr>
                    <a:xfrm>
                      <a:off x="0" y="0"/>
                      <a:ext cx="4049180" cy="2660052"/>
                    </a:xfrm>
                    <a:prstGeom prst="rect">
                      <a:avLst/>
                    </a:prstGeom>
                  </pic:spPr>
                </pic:pic>
              </a:graphicData>
            </a:graphic>
          </wp:inline>
        </w:drawing>
      </w:r>
    </w:p>
    <w:p w14:paraId="39AA9657" w14:textId="5EC3C958" w:rsidR="0002780D" w:rsidRPr="00A041D2" w:rsidRDefault="0066754A" w:rsidP="008628E5">
      <w:pPr>
        <w:spacing w:before="100" w:beforeAutospacing="1" w:after="100" w:afterAutospacing="1"/>
        <w:jc w:val="both"/>
        <w:rPr>
          <w:rFonts w:ascii="Century Gothic" w:hAnsi="Century Gothic"/>
          <w:lang w:val="es-ES"/>
        </w:rPr>
      </w:pPr>
      <w:r w:rsidRPr="00A041D2">
        <w:rPr>
          <w:rFonts w:ascii="Century Gothic" w:hAnsi="Century Gothic"/>
          <w:lang w:val="es-ES"/>
        </w:rPr>
        <w:t xml:space="preserve">Esto permite concluir que los recursos a gastar con el cupo de endeudamiento no permitirán desarrollar la estructura económica del país en el mediano ni largo plazo. </w:t>
      </w:r>
      <w:r w:rsidR="004E5F50" w:rsidRPr="00A041D2">
        <w:rPr>
          <w:rFonts w:ascii="Century Gothic" w:hAnsi="Century Gothic"/>
          <w:lang w:val="es-ES"/>
        </w:rPr>
        <w:t xml:space="preserve">Incluso, las mismas proyecciones del Gobierno </w:t>
      </w:r>
      <w:r w:rsidR="004E5F50" w:rsidRPr="00A041D2">
        <w:rPr>
          <w:rFonts w:ascii="Century Gothic" w:hAnsi="Century Gothic"/>
          <w:lang w:val="es-ES"/>
        </w:rPr>
        <w:lastRenderedPageBreak/>
        <w:t xml:space="preserve">establecen una reducción del gasto público en los próximos 10 años, por lo que se deduce que el endeudamiento adquirido será para el pago de obligaciones financieras pasadas. </w:t>
      </w:r>
    </w:p>
    <w:p w14:paraId="18101B2C" w14:textId="44EDB9D3" w:rsidR="004E5F50" w:rsidRPr="00A041D2" w:rsidRDefault="002D61D2" w:rsidP="008628E5">
      <w:pPr>
        <w:spacing w:before="100" w:beforeAutospacing="1" w:after="100" w:afterAutospacing="1"/>
        <w:jc w:val="both"/>
        <w:rPr>
          <w:rFonts w:ascii="Century Gothic" w:hAnsi="Century Gothic"/>
          <w:b/>
          <w:lang w:val="es-ES"/>
        </w:rPr>
      </w:pPr>
      <w:r w:rsidRPr="00A041D2">
        <w:rPr>
          <w:rFonts w:ascii="Century Gothic" w:hAnsi="Century Gothic"/>
          <w:b/>
          <w:lang w:val="es-ES"/>
        </w:rPr>
        <w:t>Alternativas de financiación</w:t>
      </w:r>
    </w:p>
    <w:p w14:paraId="6EFE9D1E" w14:textId="715782A4" w:rsidR="002D61D2" w:rsidRPr="00A041D2" w:rsidRDefault="002D61D2" w:rsidP="008628E5">
      <w:pPr>
        <w:spacing w:before="100" w:beforeAutospacing="1" w:after="100" w:afterAutospacing="1"/>
        <w:jc w:val="both"/>
        <w:rPr>
          <w:rFonts w:ascii="Century Gothic" w:hAnsi="Century Gothic"/>
          <w:lang w:val="es-ES"/>
        </w:rPr>
      </w:pPr>
      <w:r w:rsidRPr="00A041D2">
        <w:rPr>
          <w:rFonts w:ascii="Century Gothic" w:hAnsi="Century Gothic"/>
          <w:lang w:val="es-ES"/>
        </w:rPr>
        <w:t xml:space="preserve">Hay varias alternativas de financiación del presupuesto. Una de ellas es un acuerdo de pago futuro con los acreedores de las obligaciones financieras. Otro elemento es una reforma tributaria progresiva que grave a los multimillonarios en el país. Igualmente se puede contemplar una auditoría pública de la deuda para hallar posibles irregularidades legales </w:t>
      </w:r>
      <w:r w:rsidR="001152F1" w:rsidRPr="00A041D2">
        <w:rPr>
          <w:rFonts w:ascii="Century Gothic" w:hAnsi="Century Gothic"/>
          <w:lang w:val="es-ES"/>
        </w:rPr>
        <w:t xml:space="preserve">en los compromisos financieros adquiridos por el Estado. </w:t>
      </w:r>
    </w:p>
    <w:p w14:paraId="453BD3A0" w14:textId="23327951" w:rsidR="001152F1" w:rsidRPr="00A041D2" w:rsidRDefault="001152F1" w:rsidP="008628E5">
      <w:pPr>
        <w:spacing w:before="100" w:beforeAutospacing="1" w:after="100" w:afterAutospacing="1"/>
        <w:jc w:val="both"/>
        <w:rPr>
          <w:rFonts w:ascii="Century Gothic" w:hAnsi="Century Gothic"/>
          <w:lang w:val="es-ES"/>
        </w:rPr>
      </w:pPr>
    </w:p>
    <w:p w14:paraId="6264EA3F" w14:textId="77777777" w:rsidR="001152F1" w:rsidRPr="00A041D2" w:rsidRDefault="001152F1" w:rsidP="008628E5">
      <w:pPr>
        <w:spacing w:before="100" w:beforeAutospacing="1" w:after="100" w:afterAutospacing="1"/>
        <w:jc w:val="both"/>
        <w:rPr>
          <w:rFonts w:ascii="Century Gothic" w:hAnsi="Century Gothic"/>
          <w:lang w:val="es-ES"/>
        </w:rPr>
      </w:pPr>
    </w:p>
    <w:p w14:paraId="39B7A187" w14:textId="26DC38B5" w:rsidR="00C768AA" w:rsidRPr="00A041D2" w:rsidRDefault="00C768AA" w:rsidP="00C768AA">
      <w:pPr>
        <w:spacing w:before="100" w:beforeAutospacing="1" w:after="100" w:afterAutospacing="1"/>
        <w:jc w:val="center"/>
        <w:rPr>
          <w:rFonts w:ascii="Century Gothic" w:hAnsi="Century Gothic" w:cs="Arial"/>
          <w:b/>
          <w:bCs/>
          <w:lang w:val="es-ES"/>
        </w:rPr>
      </w:pPr>
      <w:r w:rsidRPr="00A041D2">
        <w:rPr>
          <w:rFonts w:ascii="Century Gothic" w:hAnsi="Century Gothic" w:cs="Arial"/>
          <w:b/>
          <w:bCs/>
          <w:lang w:val="es-ES"/>
        </w:rPr>
        <w:t>Proposición</w:t>
      </w:r>
    </w:p>
    <w:p w14:paraId="69784753" w14:textId="0885A3F4" w:rsidR="00C768AA" w:rsidRPr="00A041D2" w:rsidRDefault="00C768AA" w:rsidP="00C768AA">
      <w:pPr>
        <w:spacing w:before="100" w:beforeAutospacing="1" w:after="100" w:afterAutospacing="1"/>
        <w:jc w:val="both"/>
        <w:rPr>
          <w:rFonts w:ascii="Century Gothic" w:hAnsi="Century Gothic" w:cs="Arial"/>
          <w:bCs/>
          <w:lang w:val="es-ES"/>
        </w:rPr>
      </w:pPr>
      <w:r w:rsidRPr="00A041D2">
        <w:rPr>
          <w:rFonts w:ascii="Century Gothic" w:hAnsi="Century Gothic" w:cs="Arial"/>
          <w:bCs/>
          <w:lang w:val="es-ES"/>
        </w:rPr>
        <w:t xml:space="preserve">Se propone a la </w:t>
      </w:r>
      <w:r w:rsidR="00651ACA">
        <w:rPr>
          <w:rFonts w:ascii="Century Gothic" w:hAnsi="Century Gothic" w:cs="Arial"/>
          <w:bCs/>
          <w:lang w:val="es-ES"/>
        </w:rPr>
        <w:t>plenaria</w:t>
      </w:r>
      <w:r w:rsidRPr="00A041D2">
        <w:rPr>
          <w:rFonts w:ascii="Century Gothic" w:hAnsi="Century Gothic" w:cs="Arial"/>
          <w:bCs/>
          <w:lang w:val="es-ES"/>
        </w:rPr>
        <w:t xml:space="preserve"> de la Cámara de Representantes archivar el proyecto de ley N°. 285 </w:t>
      </w:r>
      <w:r w:rsidR="001152F1" w:rsidRPr="00A041D2">
        <w:rPr>
          <w:rFonts w:ascii="Century Gothic" w:hAnsi="Century Gothic" w:cs="Arial"/>
          <w:bCs/>
          <w:lang w:val="es-ES"/>
        </w:rPr>
        <w:t>d</w:t>
      </w:r>
      <w:r w:rsidRPr="00A041D2">
        <w:rPr>
          <w:rFonts w:ascii="Century Gothic" w:hAnsi="Century Gothic" w:cs="Arial"/>
          <w:bCs/>
          <w:lang w:val="es-ES"/>
        </w:rPr>
        <w:t>e 2020 Cámara, “Por la cual se amplían las autorizaciones conferidas al gobierno nacional para celebrar operaciones de crédito público externo e interno y operaciones asimiladas a las anteriores, así como para garantizar obligaciones de pago de otras entidades, y se dictan otras disposiciones".</w:t>
      </w:r>
    </w:p>
    <w:p w14:paraId="3A5C60FA" w14:textId="0F4F0AF3" w:rsidR="00C768AA" w:rsidRPr="00A041D2" w:rsidRDefault="00C768AA" w:rsidP="00C768AA">
      <w:pPr>
        <w:spacing w:before="100" w:beforeAutospacing="1" w:after="100" w:afterAutospacing="1"/>
        <w:jc w:val="center"/>
        <w:rPr>
          <w:rFonts w:ascii="Century Gothic" w:hAnsi="Century Gothic" w:cs="Arial"/>
          <w:b/>
          <w:bCs/>
          <w:lang w:val="es-ES"/>
        </w:rPr>
      </w:pPr>
      <w:r w:rsidRPr="00A041D2">
        <w:rPr>
          <w:rFonts w:ascii="Century Gothic" w:hAnsi="Century Gothic" w:cs="Arial"/>
          <w:b/>
          <w:bCs/>
          <w:noProof/>
          <w:lang w:val="es-ES"/>
        </w:rPr>
        <w:drawing>
          <wp:inline distT="0" distB="0" distL="0" distR="0" wp14:anchorId="6663B736" wp14:editId="7DEB532C">
            <wp:extent cx="2731911" cy="152574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rma David Racero.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39883" cy="1530199"/>
                    </a:xfrm>
                    <a:prstGeom prst="rect">
                      <a:avLst/>
                    </a:prstGeom>
                  </pic:spPr>
                </pic:pic>
              </a:graphicData>
            </a:graphic>
          </wp:inline>
        </w:drawing>
      </w:r>
    </w:p>
    <w:p w14:paraId="19D71384" w14:textId="131952FB" w:rsidR="00C768AA" w:rsidRPr="00A041D2" w:rsidRDefault="00C768AA" w:rsidP="00C768AA">
      <w:pPr>
        <w:spacing w:before="100" w:beforeAutospacing="1" w:after="100" w:afterAutospacing="1"/>
        <w:jc w:val="center"/>
        <w:rPr>
          <w:rFonts w:ascii="Century Gothic" w:hAnsi="Century Gothic" w:cs="Arial"/>
          <w:b/>
          <w:bCs/>
          <w:lang w:val="es-ES"/>
        </w:rPr>
      </w:pPr>
      <w:r w:rsidRPr="00A041D2">
        <w:rPr>
          <w:rFonts w:ascii="Century Gothic" w:hAnsi="Century Gothic" w:cs="Arial"/>
          <w:b/>
          <w:bCs/>
          <w:lang w:val="es-ES"/>
        </w:rPr>
        <w:t>David Racero</w:t>
      </w:r>
    </w:p>
    <w:p w14:paraId="4D91133E" w14:textId="4AE3D671" w:rsidR="00C768AA" w:rsidRPr="00A041D2" w:rsidRDefault="00C768AA" w:rsidP="00C768AA">
      <w:pPr>
        <w:spacing w:before="100" w:beforeAutospacing="1" w:after="100" w:afterAutospacing="1"/>
        <w:jc w:val="center"/>
        <w:rPr>
          <w:rFonts w:ascii="Century Gothic" w:hAnsi="Century Gothic" w:cs="Arial"/>
          <w:b/>
          <w:bCs/>
          <w:lang w:val="es-ES"/>
        </w:rPr>
      </w:pPr>
      <w:r w:rsidRPr="00A041D2">
        <w:rPr>
          <w:rFonts w:ascii="Century Gothic" w:hAnsi="Century Gothic" w:cs="Arial"/>
          <w:b/>
          <w:bCs/>
          <w:lang w:val="es-ES"/>
        </w:rPr>
        <w:t>Representante a la Cámara por Bogotá</w:t>
      </w:r>
    </w:p>
    <w:p w14:paraId="06EDA9B6" w14:textId="77777777" w:rsidR="0066754A" w:rsidRPr="00A041D2" w:rsidRDefault="0066754A" w:rsidP="008628E5">
      <w:pPr>
        <w:spacing w:before="100" w:beforeAutospacing="1" w:after="100" w:afterAutospacing="1"/>
        <w:jc w:val="both"/>
        <w:rPr>
          <w:rFonts w:ascii="Century Gothic" w:hAnsi="Century Gothic" w:cs="Arial"/>
          <w:bCs/>
          <w:lang w:val="es-ES"/>
        </w:rPr>
      </w:pPr>
    </w:p>
    <w:p w14:paraId="3751E9F3" w14:textId="5C88D077" w:rsidR="008420FE" w:rsidRPr="00A041D2" w:rsidRDefault="008420FE" w:rsidP="008628E5">
      <w:pPr>
        <w:spacing w:before="100" w:beforeAutospacing="1" w:after="100" w:afterAutospacing="1"/>
        <w:jc w:val="both"/>
        <w:rPr>
          <w:rFonts w:ascii="Century Gothic" w:hAnsi="Century Gothic" w:cs="Arial"/>
          <w:bCs/>
          <w:lang w:val="es-ES"/>
        </w:rPr>
      </w:pPr>
    </w:p>
    <w:p w14:paraId="07B2401F" w14:textId="77777777" w:rsidR="008420FE" w:rsidRPr="00A041D2" w:rsidRDefault="008420FE" w:rsidP="008628E5">
      <w:pPr>
        <w:spacing w:before="100" w:beforeAutospacing="1" w:after="100" w:afterAutospacing="1"/>
        <w:jc w:val="both"/>
        <w:rPr>
          <w:rFonts w:ascii="Century Gothic" w:hAnsi="Century Gothic" w:cs="Arial"/>
          <w:bCs/>
          <w:lang w:val="es-ES"/>
        </w:rPr>
      </w:pPr>
    </w:p>
    <w:p w14:paraId="61C9E02E" w14:textId="18AA1E8D" w:rsidR="00687529" w:rsidRPr="00A041D2" w:rsidRDefault="00687529" w:rsidP="008628E5">
      <w:pPr>
        <w:spacing w:before="100" w:beforeAutospacing="1" w:after="100" w:afterAutospacing="1"/>
        <w:jc w:val="both"/>
        <w:rPr>
          <w:rFonts w:ascii="Century Gothic" w:hAnsi="Century Gothic" w:cs="Arial"/>
          <w:bCs/>
          <w:lang w:val="es-ES"/>
        </w:rPr>
      </w:pPr>
    </w:p>
    <w:p w14:paraId="116AA145" w14:textId="77777777" w:rsidR="00A95EC8" w:rsidRPr="00A041D2" w:rsidRDefault="00A95EC8" w:rsidP="0002780D">
      <w:pPr>
        <w:jc w:val="both"/>
        <w:rPr>
          <w:rFonts w:ascii="Century Gothic" w:hAnsi="Century Gothic"/>
          <w:lang w:val="es-ES"/>
        </w:rPr>
      </w:pPr>
    </w:p>
    <w:p w14:paraId="3E01F749" w14:textId="77777777" w:rsidR="00A041D2" w:rsidRPr="00A041D2" w:rsidRDefault="00A041D2">
      <w:pPr>
        <w:jc w:val="both"/>
        <w:rPr>
          <w:rFonts w:ascii="Century Gothic" w:hAnsi="Century Gothic"/>
          <w:lang w:val="es-ES"/>
        </w:rPr>
      </w:pPr>
    </w:p>
    <w:sectPr w:rsidR="00A041D2" w:rsidRPr="00A041D2">
      <w:headerReference w:type="default" r:id="rId22"/>
      <w:footerReference w:type="default" r:id="rId2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44A4FB" w14:textId="77777777" w:rsidR="007C02D6" w:rsidRDefault="007C02D6">
      <w:r>
        <w:separator/>
      </w:r>
    </w:p>
  </w:endnote>
  <w:endnote w:type="continuationSeparator" w:id="0">
    <w:p w14:paraId="0D14EFC2" w14:textId="77777777" w:rsidR="007C02D6" w:rsidRDefault="007C02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Calibri"/>
    <w:panose1 w:val="020B0502040204020203"/>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C790C1" w14:textId="77777777" w:rsidR="005149CC" w:rsidRDefault="005149CC" w:rsidP="005149CC">
    <w:pPr>
      <w:pStyle w:val="Piedepgina"/>
      <w:jc w:val="both"/>
      <w:rPr>
        <w:noProof/>
        <w:lang w:eastAsia="es-CO"/>
      </w:rPr>
    </w:pPr>
  </w:p>
  <w:p w14:paraId="42092A8F" w14:textId="77777777" w:rsidR="005149CC" w:rsidRDefault="00396072" w:rsidP="005149CC">
    <w:pPr>
      <w:pStyle w:val="Piedepgina"/>
      <w:jc w:val="both"/>
      <w:rPr>
        <w:noProof/>
        <w:lang w:eastAsia="es-CO"/>
      </w:rPr>
    </w:pPr>
    <w:r>
      <w:rPr>
        <w:noProof/>
      </w:rPr>
      <w:drawing>
        <wp:inline distT="0" distB="0" distL="0" distR="0" wp14:anchorId="3D74BD0B" wp14:editId="42852923">
          <wp:extent cx="5464148" cy="2000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ayita 2-03.png"/>
                  <pic:cNvPicPr/>
                </pic:nvPicPr>
                <pic:blipFill rotWithShape="1">
                  <a:blip r:embed="rId1">
                    <a:extLst>
                      <a:ext uri="{28A0092B-C50C-407E-A947-70E740481C1C}">
                        <a14:useLocalDpi xmlns:a14="http://schemas.microsoft.com/office/drawing/2010/main" val="0"/>
                      </a:ext>
                    </a:extLst>
                  </a:blip>
                  <a:srcRect t="30190" b="30116"/>
                  <a:stretch/>
                </pic:blipFill>
                <pic:spPr bwMode="auto">
                  <a:xfrm>
                    <a:off x="0" y="0"/>
                    <a:ext cx="6482220" cy="237293"/>
                  </a:xfrm>
                  <a:prstGeom prst="rect">
                    <a:avLst/>
                  </a:prstGeom>
                  <a:ln>
                    <a:noFill/>
                  </a:ln>
                  <a:extLst>
                    <a:ext uri="{53640926-AAD7-44D8-BBD7-CCE9431645EC}">
                      <a14:shadowObscured xmlns:a14="http://schemas.microsoft.com/office/drawing/2010/main"/>
                    </a:ext>
                  </a:extLst>
                </pic:spPr>
              </pic:pic>
            </a:graphicData>
          </a:graphic>
        </wp:inline>
      </w:drawing>
    </w:r>
  </w:p>
  <w:p w14:paraId="74B27FBF" w14:textId="77777777" w:rsidR="005149CC" w:rsidRDefault="00396072" w:rsidP="005149CC">
    <w:pPr>
      <w:pStyle w:val="Piedepgina"/>
      <w:jc w:val="both"/>
    </w:pPr>
    <w:r>
      <w:rPr>
        <w:noProof/>
      </w:rPr>
      <w:drawing>
        <wp:inline distT="0" distB="0" distL="0" distR="0" wp14:anchorId="0987EAE6" wp14:editId="3E4B4276">
          <wp:extent cx="5653405" cy="62862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E DE PAGINA-01.png"/>
                  <pic:cNvPicPr/>
                </pic:nvPicPr>
                <pic:blipFill rotWithShape="1">
                  <a:blip r:embed="rId2" cstate="print">
                    <a:extLst>
                      <a:ext uri="{28A0092B-C50C-407E-A947-70E740481C1C}">
                        <a14:useLocalDpi xmlns:a14="http://schemas.microsoft.com/office/drawing/2010/main" val="0"/>
                      </a:ext>
                    </a:extLst>
                  </a:blip>
                  <a:srcRect t="27473"/>
                  <a:stretch/>
                </pic:blipFill>
                <pic:spPr bwMode="auto">
                  <a:xfrm>
                    <a:off x="0" y="0"/>
                    <a:ext cx="5707862" cy="634684"/>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D664EB" w14:textId="77777777" w:rsidR="007C02D6" w:rsidRDefault="007C02D6">
      <w:r>
        <w:separator/>
      </w:r>
    </w:p>
  </w:footnote>
  <w:footnote w:type="continuationSeparator" w:id="0">
    <w:p w14:paraId="371DCC22" w14:textId="77777777" w:rsidR="007C02D6" w:rsidRDefault="007C02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DF1CB0" w14:textId="77777777" w:rsidR="005149CC" w:rsidRPr="004135DB" w:rsidRDefault="00396072" w:rsidP="00577459">
    <w:pPr>
      <w:pStyle w:val="Encabezado"/>
    </w:pPr>
    <w:r>
      <w:rPr>
        <w:noProof/>
      </w:rPr>
      <w:t xml:space="preserve">   </w:t>
    </w:r>
    <w:r>
      <w:rPr>
        <w:noProof/>
      </w:rPr>
      <w:drawing>
        <wp:inline distT="0" distB="0" distL="0" distR="0" wp14:anchorId="68DBC173" wp14:editId="51993709">
          <wp:extent cx="1362075" cy="362943"/>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DAVID PNG.png"/>
                  <pic:cNvPicPr/>
                </pic:nvPicPr>
                <pic:blipFill>
                  <a:blip r:embed="rId1">
                    <a:extLst>
                      <a:ext uri="{28A0092B-C50C-407E-A947-70E740481C1C}">
                        <a14:useLocalDpi xmlns:a14="http://schemas.microsoft.com/office/drawing/2010/main" val="0"/>
                      </a:ext>
                    </a:extLst>
                  </a:blip>
                  <a:stretch>
                    <a:fillRect/>
                  </a:stretch>
                </pic:blipFill>
                <pic:spPr>
                  <a:xfrm>
                    <a:off x="0" y="0"/>
                    <a:ext cx="1455704" cy="387892"/>
                  </a:xfrm>
                  <a:prstGeom prst="rect">
                    <a:avLst/>
                  </a:prstGeom>
                </pic:spPr>
              </pic:pic>
            </a:graphicData>
          </a:graphic>
        </wp:inline>
      </w:drawing>
    </w:r>
    <w:r w:rsidRPr="008B1AE1">
      <w:rPr>
        <w:noProof/>
      </w:rPr>
      <w:t xml:space="preserve"> </w:t>
    </w:r>
    <w:r>
      <w:rPr>
        <w:noProof/>
      </w:rPr>
      <w:t xml:space="preserve">  </w:t>
    </w:r>
    <w:r w:rsidR="00577459">
      <w:rPr>
        <w:noProof/>
      </w:rPr>
      <w:t xml:space="preserve">           </w:t>
    </w:r>
    <w:r w:rsidR="00686787">
      <w:rPr>
        <w:noProof/>
      </w:rPr>
      <w:t xml:space="preserve"> </w:t>
    </w:r>
    <w:r w:rsidR="00577459">
      <w:rPr>
        <w:noProof/>
      </w:rPr>
      <w:t xml:space="preserve">                       </w:t>
    </w:r>
    <w:r w:rsidR="00686787">
      <w:rPr>
        <w:noProof/>
      </w:rPr>
      <w:t xml:space="preserve">     </w:t>
    </w:r>
    <w:r>
      <w:rPr>
        <w:noProof/>
      </w:rPr>
      <w:t xml:space="preserve">   </w:t>
    </w:r>
    <w:r w:rsidR="00577459">
      <w:rPr>
        <w:noProof/>
      </w:rPr>
      <w:drawing>
        <wp:inline distT="0" distB="0" distL="0" distR="0" wp14:anchorId="7DE14170" wp14:editId="4598587A">
          <wp:extent cx="805069" cy="348615"/>
          <wp:effectExtent l="0" t="0" r="8255" b="6985"/>
          <wp:docPr id="4" name="Imagen 4" descr="WhatsApp%20Image%202020-07-01%20at%2012.46.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20Image%202020-07-01%20at%2012.46.43.jpe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19592" cy="441509"/>
                  </a:xfrm>
                  <a:prstGeom prst="rect">
                    <a:avLst/>
                  </a:prstGeom>
                  <a:noFill/>
                  <a:ln>
                    <a:noFill/>
                  </a:ln>
                </pic:spPr>
              </pic:pic>
            </a:graphicData>
          </a:graphic>
        </wp:inline>
      </w:drawing>
    </w:r>
    <w:r w:rsidR="00577459">
      <w:rPr>
        <w:noProof/>
      </w:rPr>
      <w:t xml:space="preserve">   </w:t>
    </w:r>
    <w:r w:rsidR="00686787">
      <w:rPr>
        <w:noProof/>
      </w:rPr>
      <w:drawing>
        <wp:inline distT="0" distB="0" distL="0" distR="0" wp14:anchorId="008724A7" wp14:editId="5B95D676">
          <wp:extent cx="328295" cy="353060"/>
          <wp:effectExtent l="0" t="0" r="1905"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mais.png"/>
                  <pic:cNvPicPr/>
                </pic:nvPicPr>
                <pic:blipFill>
                  <a:blip r:embed="rId3">
                    <a:extLst>
                      <a:ext uri="{28A0092B-C50C-407E-A947-70E740481C1C}">
                        <a14:useLocalDpi xmlns:a14="http://schemas.microsoft.com/office/drawing/2010/main" val="0"/>
                      </a:ext>
                    </a:extLst>
                  </a:blip>
                  <a:stretch>
                    <a:fillRect/>
                  </a:stretch>
                </pic:blipFill>
                <pic:spPr>
                  <a:xfrm>
                    <a:off x="0" y="0"/>
                    <a:ext cx="328295" cy="353060"/>
                  </a:xfrm>
                  <a:prstGeom prst="rect">
                    <a:avLst/>
                  </a:prstGeom>
                </pic:spPr>
              </pic:pic>
            </a:graphicData>
          </a:graphic>
        </wp:inline>
      </w:drawing>
    </w:r>
    <w:r w:rsidR="00577459">
      <w:rPr>
        <w:noProof/>
      </w:rPr>
      <w:t xml:space="preserve"> </w:t>
    </w:r>
    <w:r>
      <w:rPr>
        <w:noProof/>
      </w:rPr>
      <w:drawing>
        <wp:inline distT="0" distB="0" distL="0" distR="0" wp14:anchorId="1E5144C3" wp14:editId="2EC7AE41">
          <wp:extent cx="1026795" cy="387064"/>
          <wp:effectExtent l="0" t="0" r="0" b="0"/>
          <wp:docPr id="2" name="Imagen 2" descr="Resultado de imagen de CAMARA DE REPRESENT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CAMARA DE REPRESENTANTES"/>
                  <pic:cNvPicPr>
                    <a:picLocks noChangeAspect="1" noChangeArrowheads="1"/>
                  </pic:cNvPicPr>
                </pic:nvPicPr>
                <pic:blipFill rotWithShape="1">
                  <a:blip r:embed="rId4">
                    <a:extLst>
                      <a:ext uri="{28A0092B-C50C-407E-A947-70E740481C1C}">
                        <a14:useLocalDpi xmlns:a14="http://schemas.microsoft.com/office/drawing/2010/main" val="0"/>
                      </a:ext>
                    </a:extLst>
                  </a:blip>
                  <a:srcRect l="6790" t="15912" r="9518" b="16665"/>
                  <a:stretch/>
                </pic:blipFill>
                <pic:spPr bwMode="auto">
                  <a:xfrm>
                    <a:off x="0" y="0"/>
                    <a:ext cx="1323014" cy="49872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p w14:paraId="3A5C85B2" w14:textId="77777777" w:rsidR="005149CC" w:rsidRPr="003810B2" w:rsidRDefault="005149CC" w:rsidP="005149CC">
    <w:pPr>
      <w:pStyle w:val="Encabezado"/>
      <w:jc w:val="center"/>
      <w:rPr>
        <w:u w:val="single"/>
      </w:rPr>
    </w:pPr>
  </w:p>
  <w:p w14:paraId="0A81DDF3" w14:textId="77777777" w:rsidR="005149CC" w:rsidRDefault="005149C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30DD1"/>
    <w:multiLevelType w:val="hybridMultilevel"/>
    <w:tmpl w:val="EA0C8DA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076530D"/>
    <w:multiLevelType w:val="hybridMultilevel"/>
    <w:tmpl w:val="345ADC3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4927294"/>
    <w:multiLevelType w:val="hybridMultilevel"/>
    <w:tmpl w:val="698458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4FD16FC"/>
    <w:multiLevelType w:val="hybridMultilevel"/>
    <w:tmpl w:val="ED22F306"/>
    <w:lvl w:ilvl="0" w:tplc="240A0001">
      <w:start w:val="1"/>
      <w:numFmt w:val="bullet"/>
      <w:lvlText w:val=""/>
      <w:lvlJc w:val="left"/>
      <w:pPr>
        <w:ind w:left="784" w:hanging="360"/>
      </w:pPr>
      <w:rPr>
        <w:rFonts w:ascii="Symbol" w:hAnsi="Symbol" w:hint="default"/>
      </w:rPr>
    </w:lvl>
    <w:lvl w:ilvl="1" w:tplc="240A0003" w:tentative="1">
      <w:start w:val="1"/>
      <w:numFmt w:val="bullet"/>
      <w:lvlText w:val="o"/>
      <w:lvlJc w:val="left"/>
      <w:pPr>
        <w:ind w:left="1504" w:hanging="360"/>
      </w:pPr>
      <w:rPr>
        <w:rFonts w:ascii="Courier New" w:hAnsi="Courier New" w:cs="Courier New" w:hint="default"/>
      </w:rPr>
    </w:lvl>
    <w:lvl w:ilvl="2" w:tplc="240A0005" w:tentative="1">
      <w:start w:val="1"/>
      <w:numFmt w:val="bullet"/>
      <w:lvlText w:val=""/>
      <w:lvlJc w:val="left"/>
      <w:pPr>
        <w:ind w:left="2224" w:hanging="360"/>
      </w:pPr>
      <w:rPr>
        <w:rFonts w:ascii="Wingdings" w:hAnsi="Wingdings" w:hint="default"/>
      </w:rPr>
    </w:lvl>
    <w:lvl w:ilvl="3" w:tplc="240A0001" w:tentative="1">
      <w:start w:val="1"/>
      <w:numFmt w:val="bullet"/>
      <w:lvlText w:val=""/>
      <w:lvlJc w:val="left"/>
      <w:pPr>
        <w:ind w:left="2944" w:hanging="360"/>
      </w:pPr>
      <w:rPr>
        <w:rFonts w:ascii="Symbol" w:hAnsi="Symbol" w:hint="default"/>
      </w:rPr>
    </w:lvl>
    <w:lvl w:ilvl="4" w:tplc="240A0003" w:tentative="1">
      <w:start w:val="1"/>
      <w:numFmt w:val="bullet"/>
      <w:lvlText w:val="o"/>
      <w:lvlJc w:val="left"/>
      <w:pPr>
        <w:ind w:left="3664" w:hanging="360"/>
      </w:pPr>
      <w:rPr>
        <w:rFonts w:ascii="Courier New" w:hAnsi="Courier New" w:cs="Courier New" w:hint="default"/>
      </w:rPr>
    </w:lvl>
    <w:lvl w:ilvl="5" w:tplc="240A0005" w:tentative="1">
      <w:start w:val="1"/>
      <w:numFmt w:val="bullet"/>
      <w:lvlText w:val=""/>
      <w:lvlJc w:val="left"/>
      <w:pPr>
        <w:ind w:left="4384" w:hanging="360"/>
      </w:pPr>
      <w:rPr>
        <w:rFonts w:ascii="Wingdings" w:hAnsi="Wingdings" w:hint="default"/>
      </w:rPr>
    </w:lvl>
    <w:lvl w:ilvl="6" w:tplc="240A0001" w:tentative="1">
      <w:start w:val="1"/>
      <w:numFmt w:val="bullet"/>
      <w:lvlText w:val=""/>
      <w:lvlJc w:val="left"/>
      <w:pPr>
        <w:ind w:left="5104" w:hanging="360"/>
      </w:pPr>
      <w:rPr>
        <w:rFonts w:ascii="Symbol" w:hAnsi="Symbol" w:hint="default"/>
      </w:rPr>
    </w:lvl>
    <w:lvl w:ilvl="7" w:tplc="240A0003" w:tentative="1">
      <w:start w:val="1"/>
      <w:numFmt w:val="bullet"/>
      <w:lvlText w:val="o"/>
      <w:lvlJc w:val="left"/>
      <w:pPr>
        <w:ind w:left="5824" w:hanging="360"/>
      </w:pPr>
      <w:rPr>
        <w:rFonts w:ascii="Courier New" w:hAnsi="Courier New" w:cs="Courier New" w:hint="default"/>
      </w:rPr>
    </w:lvl>
    <w:lvl w:ilvl="8" w:tplc="240A0005" w:tentative="1">
      <w:start w:val="1"/>
      <w:numFmt w:val="bullet"/>
      <w:lvlText w:val=""/>
      <w:lvlJc w:val="left"/>
      <w:pPr>
        <w:ind w:left="6544" w:hanging="360"/>
      </w:pPr>
      <w:rPr>
        <w:rFonts w:ascii="Wingdings" w:hAnsi="Wingdings" w:hint="default"/>
      </w:rPr>
    </w:lvl>
  </w:abstractNum>
  <w:abstractNum w:abstractNumId="4" w15:restartNumberingAfterBreak="0">
    <w:nsid w:val="0A657C76"/>
    <w:multiLevelType w:val="hybridMultilevel"/>
    <w:tmpl w:val="A84C0542"/>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0D9E160D"/>
    <w:multiLevelType w:val="hybridMultilevel"/>
    <w:tmpl w:val="40CE87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011069B"/>
    <w:multiLevelType w:val="hybridMultilevel"/>
    <w:tmpl w:val="8C7C1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D4457E"/>
    <w:multiLevelType w:val="hybridMultilevel"/>
    <w:tmpl w:val="643EFC8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159C4988"/>
    <w:multiLevelType w:val="hybridMultilevel"/>
    <w:tmpl w:val="5B86A4B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177C351D"/>
    <w:multiLevelType w:val="hybridMultilevel"/>
    <w:tmpl w:val="05A0359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18A8286E"/>
    <w:multiLevelType w:val="hybridMultilevel"/>
    <w:tmpl w:val="EE6C6042"/>
    <w:lvl w:ilvl="0" w:tplc="72CC7AD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9FA4ABE"/>
    <w:multiLevelType w:val="hybridMultilevel"/>
    <w:tmpl w:val="4DD2FBD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1E474C77"/>
    <w:multiLevelType w:val="hybridMultilevel"/>
    <w:tmpl w:val="88827E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1E5A1E8B"/>
    <w:multiLevelType w:val="hybridMultilevel"/>
    <w:tmpl w:val="452AD3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58F09E8"/>
    <w:multiLevelType w:val="hybridMultilevel"/>
    <w:tmpl w:val="1CEE3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686A95"/>
    <w:multiLevelType w:val="hybridMultilevel"/>
    <w:tmpl w:val="34BCA18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2AAA09DC"/>
    <w:multiLevelType w:val="hybridMultilevel"/>
    <w:tmpl w:val="6F602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9369BF"/>
    <w:multiLevelType w:val="hybridMultilevel"/>
    <w:tmpl w:val="384067C4"/>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18" w15:restartNumberingAfterBreak="0">
    <w:nsid w:val="2FFE549C"/>
    <w:multiLevelType w:val="hybridMultilevel"/>
    <w:tmpl w:val="793C7C12"/>
    <w:lvl w:ilvl="0" w:tplc="DC88C67E">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9" w15:restartNumberingAfterBreak="0">
    <w:nsid w:val="3128038E"/>
    <w:multiLevelType w:val="hybridMultilevel"/>
    <w:tmpl w:val="5F4C5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A00670"/>
    <w:multiLevelType w:val="hybridMultilevel"/>
    <w:tmpl w:val="24AC2C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2E928CE"/>
    <w:multiLevelType w:val="hybridMultilevel"/>
    <w:tmpl w:val="78D033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92427AA"/>
    <w:multiLevelType w:val="hybridMultilevel"/>
    <w:tmpl w:val="A956B9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F930578"/>
    <w:multiLevelType w:val="hybridMultilevel"/>
    <w:tmpl w:val="EF6C81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52A41740"/>
    <w:multiLevelType w:val="hybridMultilevel"/>
    <w:tmpl w:val="4D5C3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A177DA"/>
    <w:multiLevelType w:val="hybridMultilevel"/>
    <w:tmpl w:val="5B8ED0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70F67F6"/>
    <w:multiLevelType w:val="hybridMultilevel"/>
    <w:tmpl w:val="08BA42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692C04AB"/>
    <w:multiLevelType w:val="multilevel"/>
    <w:tmpl w:val="8D1E2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9F355B5"/>
    <w:multiLevelType w:val="hybridMultilevel"/>
    <w:tmpl w:val="F60E29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77401C44"/>
    <w:multiLevelType w:val="hybridMultilevel"/>
    <w:tmpl w:val="38F44A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CB01A0"/>
    <w:multiLevelType w:val="hybridMultilevel"/>
    <w:tmpl w:val="26BA0B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7CD42DFA"/>
    <w:multiLevelType w:val="hybridMultilevel"/>
    <w:tmpl w:val="013EF75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2" w15:restartNumberingAfterBreak="0">
    <w:nsid w:val="7F424C4D"/>
    <w:multiLevelType w:val="hybridMultilevel"/>
    <w:tmpl w:val="CF601132"/>
    <w:lvl w:ilvl="0" w:tplc="240A000B">
      <w:start w:val="1"/>
      <w:numFmt w:val="bullet"/>
      <w:lvlText w:val=""/>
      <w:lvlJc w:val="left"/>
      <w:pPr>
        <w:ind w:left="1440" w:hanging="360"/>
      </w:pPr>
      <w:rPr>
        <w:rFonts w:ascii="Wingdings" w:hAnsi="Wingdings"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num w:numId="1">
    <w:abstractNumId w:val="23"/>
  </w:num>
  <w:num w:numId="2">
    <w:abstractNumId w:val="21"/>
  </w:num>
  <w:num w:numId="3">
    <w:abstractNumId w:val="10"/>
  </w:num>
  <w:num w:numId="4">
    <w:abstractNumId w:val="18"/>
  </w:num>
  <w:num w:numId="5">
    <w:abstractNumId w:val="30"/>
  </w:num>
  <w:num w:numId="6">
    <w:abstractNumId w:val="11"/>
  </w:num>
  <w:num w:numId="7">
    <w:abstractNumId w:val="7"/>
  </w:num>
  <w:num w:numId="8">
    <w:abstractNumId w:val="5"/>
  </w:num>
  <w:num w:numId="9">
    <w:abstractNumId w:val="22"/>
  </w:num>
  <w:num w:numId="10">
    <w:abstractNumId w:val="32"/>
  </w:num>
  <w:num w:numId="11">
    <w:abstractNumId w:val="15"/>
  </w:num>
  <w:num w:numId="12">
    <w:abstractNumId w:val="4"/>
  </w:num>
  <w:num w:numId="13">
    <w:abstractNumId w:val="17"/>
  </w:num>
  <w:num w:numId="14">
    <w:abstractNumId w:val="29"/>
  </w:num>
  <w:num w:numId="15">
    <w:abstractNumId w:val="13"/>
  </w:num>
  <w:num w:numId="16">
    <w:abstractNumId w:val="27"/>
  </w:num>
  <w:num w:numId="17">
    <w:abstractNumId w:val="28"/>
  </w:num>
  <w:num w:numId="18">
    <w:abstractNumId w:val="12"/>
  </w:num>
  <w:num w:numId="19">
    <w:abstractNumId w:val="25"/>
  </w:num>
  <w:num w:numId="20">
    <w:abstractNumId w:val="0"/>
  </w:num>
  <w:num w:numId="21">
    <w:abstractNumId w:val="20"/>
  </w:num>
  <w:num w:numId="22">
    <w:abstractNumId w:val="3"/>
  </w:num>
  <w:num w:numId="23">
    <w:abstractNumId w:val="26"/>
  </w:num>
  <w:num w:numId="24">
    <w:abstractNumId w:val="2"/>
  </w:num>
  <w:num w:numId="25">
    <w:abstractNumId w:val="8"/>
  </w:num>
  <w:num w:numId="26">
    <w:abstractNumId w:val="1"/>
  </w:num>
  <w:num w:numId="27">
    <w:abstractNumId w:val="31"/>
  </w:num>
  <w:num w:numId="28">
    <w:abstractNumId w:val="6"/>
  </w:num>
  <w:num w:numId="29">
    <w:abstractNumId w:val="14"/>
  </w:num>
  <w:num w:numId="30">
    <w:abstractNumId w:val="19"/>
  </w:num>
  <w:num w:numId="31">
    <w:abstractNumId w:val="24"/>
  </w:num>
  <w:num w:numId="32">
    <w:abstractNumId w:val="16"/>
  </w:num>
  <w:num w:numId="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38EE"/>
    <w:rsid w:val="0000081B"/>
    <w:rsid w:val="000012AD"/>
    <w:rsid w:val="00004423"/>
    <w:rsid w:val="00016351"/>
    <w:rsid w:val="00016E01"/>
    <w:rsid w:val="0002161B"/>
    <w:rsid w:val="0002780D"/>
    <w:rsid w:val="00034D0A"/>
    <w:rsid w:val="00055E1A"/>
    <w:rsid w:val="00067453"/>
    <w:rsid w:val="0008271A"/>
    <w:rsid w:val="000B3667"/>
    <w:rsid w:val="000B46E2"/>
    <w:rsid w:val="000B5977"/>
    <w:rsid w:val="000C5D9F"/>
    <w:rsid w:val="000F4EE1"/>
    <w:rsid w:val="00104486"/>
    <w:rsid w:val="001065CB"/>
    <w:rsid w:val="001152F1"/>
    <w:rsid w:val="00116CF5"/>
    <w:rsid w:val="00123984"/>
    <w:rsid w:val="00126F98"/>
    <w:rsid w:val="00142210"/>
    <w:rsid w:val="00144133"/>
    <w:rsid w:val="00144200"/>
    <w:rsid w:val="00144397"/>
    <w:rsid w:val="001558E1"/>
    <w:rsid w:val="00155F1F"/>
    <w:rsid w:val="001671ED"/>
    <w:rsid w:val="00184EF7"/>
    <w:rsid w:val="00192183"/>
    <w:rsid w:val="001A150F"/>
    <w:rsid w:val="001A6213"/>
    <w:rsid w:val="001B4B3E"/>
    <w:rsid w:val="001B6151"/>
    <w:rsid w:val="001C14A9"/>
    <w:rsid w:val="001C440F"/>
    <w:rsid w:val="001E3F69"/>
    <w:rsid w:val="001E4413"/>
    <w:rsid w:val="001E77E3"/>
    <w:rsid w:val="001F2BDE"/>
    <w:rsid w:val="001F4E2F"/>
    <w:rsid w:val="001F73E7"/>
    <w:rsid w:val="00200063"/>
    <w:rsid w:val="00202A10"/>
    <w:rsid w:val="002100B5"/>
    <w:rsid w:val="00211895"/>
    <w:rsid w:val="002440E5"/>
    <w:rsid w:val="0026146B"/>
    <w:rsid w:val="00261D85"/>
    <w:rsid w:val="00265444"/>
    <w:rsid w:val="002A1DAD"/>
    <w:rsid w:val="002A4965"/>
    <w:rsid w:val="002B4885"/>
    <w:rsid w:val="002C1DFE"/>
    <w:rsid w:val="002D3CB0"/>
    <w:rsid w:val="002D4C84"/>
    <w:rsid w:val="002D61D2"/>
    <w:rsid w:val="002D75C7"/>
    <w:rsid w:val="00300AE1"/>
    <w:rsid w:val="003055F9"/>
    <w:rsid w:val="00307323"/>
    <w:rsid w:val="003179FE"/>
    <w:rsid w:val="00325927"/>
    <w:rsid w:val="00342575"/>
    <w:rsid w:val="003446AD"/>
    <w:rsid w:val="00346709"/>
    <w:rsid w:val="00347417"/>
    <w:rsid w:val="0037547C"/>
    <w:rsid w:val="003925DC"/>
    <w:rsid w:val="00396072"/>
    <w:rsid w:val="003A08CB"/>
    <w:rsid w:val="003B2698"/>
    <w:rsid w:val="003C47B6"/>
    <w:rsid w:val="003D5E62"/>
    <w:rsid w:val="003E540F"/>
    <w:rsid w:val="003F238A"/>
    <w:rsid w:val="00413087"/>
    <w:rsid w:val="004315B7"/>
    <w:rsid w:val="00470FBE"/>
    <w:rsid w:val="004762AB"/>
    <w:rsid w:val="00480E51"/>
    <w:rsid w:val="00493648"/>
    <w:rsid w:val="004A2587"/>
    <w:rsid w:val="004C2025"/>
    <w:rsid w:val="004C6623"/>
    <w:rsid w:val="004C6F37"/>
    <w:rsid w:val="004D1771"/>
    <w:rsid w:val="004D23D8"/>
    <w:rsid w:val="004D47FC"/>
    <w:rsid w:val="004E3FCF"/>
    <w:rsid w:val="004E473A"/>
    <w:rsid w:val="004E5F50"/>
    <w:rsid w:val="005002B6"/>
    <w:rsid w:val="005042EA"/>
    <w:rsid w:val="00504AEA"/>
    <w:rsid w:val="00504B8A"/>
    <w:rsid w:val="005149CC"/>
    <w:rsid w:val="005213BB"/>
    <w:rsid w:val="00521AF3"/>
    <w:rsid w:val="00522FC7"/>
    <w:rsid w:val="0053595F"/>
    <w:rsid w:val="0055004F"/>
    <w:rsid w:val="00560D53"/>
    <w:rsid w:val="00577459"/>
    <w:rsid w:val="00580692"/>
    <w:rsid w:val="00580E41"/>
    <w:rsid w:val="00585D06"/>
    <w:rsid w:val="00585DF6"/>
    <w:rsid w:val="00590D0C"/>
    <w:rsid w:val="00594BE6"/>
    <w:rsid w:val="005A17EC"/>
    <w:rsid w:val="005A5ABF"/>
    <w:rsid w:val="005C5F6E"/>
    <w:rsid w:val="005D3BA8"/>
    <w:rsid w:val="005E505C"/>
    <w:rsid w:val="006038A8"/>
    <w:rsid w:val="00605758"/>
    <w:rsid w:val="00605DB3"/>
    <w:rsid w:val="00616C2A"/>
    <w:rsid w:val="00636195"/>
    <w:rsid w:val="006416C8"/>
    <w:rsid w:val="00651ACA"/>
    <w:rsid w:val="00654A22"/>
    <w:rsid w:val="00655E8E"/>
    <w:rsid w:val="0066754A"/>
    <w:rsid w:val="0067057A"/>
    <w:rsid w:val="00686787"/>
    <w:rsid w:val="00687529"/>
    <w:rsid w:val="00694479"/>
    <w:rsid w:val="00695FA7"/>
    <w:rsid w:val="0069684E"/>
    <w:rsid w:val="006A0546"/>
    <w:rsid w:val="006A1233"/>
    <w:rsid w:val="006A1401"/>
    <w:rsid w:val="006B5033"/>
    <w:rsid w:val="006C305A"/>
    <w:rsid w:val="006C61C4"/>
    <w:rsid w:val="006E08A3"/>
    <w:rsid w:val="006E470B"/>
    <w:rsid w:val="006F51E9"/>
    <w:rsid w:val="006F604A"/>
    <w:rsid w:val="00700DC6"/>
    <w:rsid w:val="007141A7"/>
    <w:rsid w:val="00714EB2"/>
    <w:rsid w:val="0071649F"/>
    <w:rsid w:val="00723764"/>
    <w:rsid w:val="00723F64"/>
    <w:rsid w:val="00725308"/>
    <w:rsid w:val="00733BAD"/>
    <w:rsid w:val="00741281"/>
    <w:rsid w:val="007450F0"/>
    <w:rsid w:val="00746FB7"/>
    <w:rsid w:val="007627AA"/>
    <w:rsid w:val="00762845"/>
    <w:rsid w:val="00766345"/>
    <w:rsid w:val="00770512"/>
    <w:rsid w:val="007818D4"/>
    <w:rsid w:val="00781BC4"/>
    <w:rsid w:val="007837EC"/>
    <w:rsid w:val="00796574"/>
    <w:rsid w:val="007C02D6"/>
    <w:rsid w:val="007D19B8"/>
    <w:rsid w:val="007E1103"/>
    <w:rsid w:val="007E6335"/>
    <w:rsid w:val="007F1C1E"/>
    <w:rsid w:val="008062D7"/>
    <w:rsid w:val="00807831"/>
    <w:rsid w:val="008266F2"/>
    <w:rsid w:val="008420FE"/>
    <w:rsid w:val="00847C65"/>
    <w:rsid w:val="008569E9"/>
    <w:rsid w:val="008628E5"/>
    <w:rsid w:val="00865610"/>
    <w:rsid w:val="00877873"/>
    <w:rsid w:val="0088779F"/>
    <w:rsid w:val="0089781F"/>
    <w:rsid w:val="008A0AB9"/>
    <w:rsid w:val="008A2509"/>
    <w:rsid w:val="008B6F9D"/>
    <w:rsid w:val="008C0E7F"/>
    <w:rsid w:val="008C3C65"/>
    <w:rsid w:val="008D0FB5"/>
    <w:rsid w:val="009049B6"/>
    <w:rsid w:val="00907100"/>
    <w:rsid w:val="009115DB"/>
    <w:rsid w:val="00912E95"/>
    <w:rsid w:val="00915B16"/>
    <w:rsid w:val="00932369"/>
    <w:rsid w:val="009357B6"/>
    <w:rsid w:val="00943F5A"/>
    <w:rsid w:val="009450B3"/>
    <w:rsid w:val="00951165"/>
    <w:rsid w:val="00963B99"/>
    <w:rsid w:val="00967BC5"/>
    <w:rsid w:val="009713B1"/>
    <w:rsid w:val="00974A2C"/>
    <w:rsid w:val="00997FF4"/>
    <w:rsid w:val="009B04B5"/>
    <w:rsid w:val="009C1782"/>
    <w:rsid w:val="009C1E72"/>
    <w:rsid w:val="009D0D4D"/>
    <w:rsid w:val="009D1823"/>
    <w:rsid w:val="009D5CD9"/>
    <w:rsid w:val="009D6F41"/>
    <w:rsid w:val="009E05E3"/>
    <w:rsid w:val="009E24B1"/>
    <w:rsid w:val="009E4956"/>
    <w:rsid w:val="00A01BE4"/>
    <w:rsid w:val="00A041D2"/>
    <w:rsid w:val="00A047DE"/>
    <w:rsid w:val="00A10BF9"/>
    <w:rsid w:val="00A12BF7"/>
    <w:rsid w:val="00A14447"/>
    <w:rsid w:val="00A14C6E"/>
    <w:rsid w:val="00A17C8C"/>
    <w:rsid w:val="00A26A9C"/>
    <w:rsid w:val="00A52B74"/>
    <w:rsid w:val="00A84BC2"/>
    <w:rsid w:val="00A867DE"/>
    <w:rsid w:val="00A95EC8"/>
    <w:rsid w:val="00AB6485"/>
    <w:rsid w:val="00AE3D83"/>
    <w:rsid w:val="00AE4082"/>
    <w:rsid w:val="00AE6239"/>
    <w:rsid w:val="00AE629A"/>
    <w:rsid w:val="00AF5EEA"/>
    <w:rsid w:val="00B15BF3"/>
    <w:rsid w:val="00B163D7"/>
    <w:rsid w:val="00B1694D"/>
    <w:rsid w:val="00B319BA"/>
    <w:rsid w:val="00B37E32"/>
    <w:rsid w:val="00B40B57"/>
    <w:rsid w:val="00B64B3C"/>
    <w:rsid w:val="00B725E7"/>
    <w:rsid w:val="00B851CC"/>
    <w:rsid w:val="00B94EA0"/>
    <w:rsid w:val="00B971CB"/>
    <w:rsid w:val="00BC0A80"/>
    <w:rsid w:val="00BC407F"/>
    <w:rsid w:val="00BD1828"/>
    <w:rsid w:val="00BE2FF9"/>
    <w:rsid w:val="00BF2149"/>
    <w:rsid w:val="00BF2B0F"/>
    <w:rsid w:val="00BF5459"/>
    <w:rsid w:val="00C147A0"/>
    <w:rsid w:val="00C31348"/>
    <w:rsid w:val="00C338E5"/>
    <w:rsid w:val="00C42226"/>
    <w:rsid w:val="00C42F64"/>
    <w:rsid w:val="00C768AA"/>
    <w:rsid w:val="00C809F2"/>
    <w:rsid w:val="00C82D8B"/>
    <w:rsid w:val="00C8521D"/>
    <w:rsid w:val="00CA21AA"/>
    <w:rsid w:val="00CA3BA3"/>
    <w:rsid w:val="00CB4A68"/>
    <w:rsid w:val="00CE2FB7"/>
    <w:rsid w:val="00CE4C1B"/>
    <w:rsid w:val="00CF65AB"/>
    <w:rsid w:val="00D01961"/>
    <w:rsid w:val="00D41530"/>
    <w:rsid w:val="00D41FDB"/>
    <w:rsid w:val="00D50905"/>
    <w:rsid w:val="00D53054"/>
    <w:rsid w:val="00D638EE"/>
    <w:rsid w:val="00D64F66"/>
    <w:rsid w:val="00D702CD"/>
    <w:rsid w:val="00D71296"/>
    <w:rsid w:val="00D87618"/>
    <w:rsid w:val="00DA7BCA"/>
    <w:rsid w:val="00DB5628"/>
    <w:rsid w:val="00DC748B"/>
    <w:rsid w:val="00DE5F91"/>
    <w:rsid w:val="00DE69D3"/>
    <w:rsid w:val="00DF4DF0"/>
    <w:rsid w:val="00E01A20"/>
    <w:rsid w:val="00E20817"/>
    <w:rsid w:val="00E25712"/>
    <w:rsid w:val="00E26DF5"/>
    <w:rsid w:val="00E271B8"/>
    <w:rsid w:val="00E400EA"/>
    <w:rsid w:val="00E51B33"/>
    <w:rsid w:val="00E524A0"/>
    <w:rsid w:val="00E75780"/>
    <w:rsid w:val="00E83DAB"/>
    <w:rsid w:val="00E84E82"/>
    <w:rsid w:val="00E9242D"/>
    <w:rsid w:val="00E971A0"/>
    <w:rsid w:val="00EA7C20"/>
    <w:rsid w:val="00EB4FA8"/>
    <w:rsid w:val="00EC5F29"/>
    <w:rsid w:val="00ED49A8"/>
    <w:rsid w:val="00EE5FDB"/>
    <w:rsid w:val="00EF587B"/>
    <w:rsid w:val="00F01C53"/>
    <w:rsid w:val="00F04DFC"/>
    <w:rsid w:val="00F106CA"/>
    <w:rsid w:val="00F10F4D"/>
    <w:rsid w:val="00F13A8C"/>
    <w:rsid w:val="00F27A2F"/>
    <w:rsid w:val="00F33CA9"/>
    <w:rsid w:val="00F6133F"/>
    <w:rsid w:val="00F71CE8"/>
    <w:rsid w:val="00F774B4"/>
    <w:rsid w:val="00F92502"/>
    <w:rsid w:val="00F9332D"/>
    <w:rsid w:val="00F95876"/>
    <w:rsid w:val="00FA44D4"/>
    <w:rsid w:val="00FB224E"/>
    <w:rsid w:val="00FC0BBE"/>
    <w:rsid w:val="00FC329E"/>
    <w:rsid w:val="00FD49E2"/>
    <w:rsid w:val="00FE0DD9"/>
    <w:rsid w:val="00FE1AC1"/>
    <w:rsid w:val="00FF4543"/>
    <w:rsid w:val="00FF5D7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BC1CE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Link" w:semiHidden="1" w:unhideWhenUsed="1"/>
  </w:latentStyles>
  <w:style w:type="paragraph" w:default="1" w:styleId="Normal">
    <w:name w:val="Normal"/>
    <w:qFormat/>
    <w:rsid w:val="00D638EE"/>
    <w:pPr>
      <w:spacing w:after="0" w:line="240" w:lineRule="auto"/>
    </w:pPr>
    <w:rPr>
      <w:rFonts w:ascii="Times New Roman" w:hAnsi="Times New Roman" w:cs="Times New Roman"/>
      <w:sz w:val="24"/>
      <w:szCs w:val="24"/>
      <w:lang w:val="es-ES_tradnl" w:eastAsia="es-ES_tradnl"/>
    </w:rPr>
  </w:style>
  <w:style w:type="paragraph" w:styleId="Ttulo1">
    <w:name w:val="heading 1"/>
    <w:basedOn w:val="Normal"/>
    <w:next w:val="Normal"/>
    <w:link w:val="Ttulo1Car"/>
    <w:uiPriority w:val="9"/>
    <w:qFormat/>
    <w:rsid w:val="00912E95"/>
    <w:pPr>
      <w:keepNext/>
      <w:keepLines/>
      <w:spacing w:before="240" w:line="256" w:lineRule="auto"/>
      <w:outlineLvl w:val="0"/>
    </w:pPr>
    <w:rPr>
      <w:rFonts w:asciiTheme="majorHAnsi" w:eastAsiaTheme="majorEastAsia" w:hAnsiTheme="majorHAnsi" w:cstheme="majorBidi"/>
      <w:color w:val="2E74B5" w:themeColor="accent1" w:themeShade="BF"/>
      <w:sz w:val="32"/>
      <w:szCs w:val="32"/>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B04B5"/>
    <w:pPr>
      <w:tabs>
        <w:tab w:val="center" w:pos="4419"/>
        <w:tab w:val="right" w:pos="8838"/>
      </w:tabs>
    </w:pPr>
  </w:style>
  <w:style w:type="character" w:customStyle="1" w:styleId="EncabezadoCar">
    <w:name w:val="Encabezado Car"/>
    <w:basedOn w:val="Fuentedeprrafopredeter"/>
    <w:link w:val="Encabezado"/>
    <w:uiPriority w:val="99"/>
    <w:rsid w:val="009B04B5"/>
  </w:style>
  <w:style w:type="paragraph" w:styleId="Piedepgina">
    <w:name w:val="footer"/>
    <w:basedOn w:val="Normal"/>
    <w:link w:val="PiedepginaCar"/>
    <w:uiPriority w:val="99"/>
    <w:unhideWhenUsed/>
    <w:rsid w:val="009B04B5"/>
    <w:pPr>
      <w:tabs>
        <w:tab w:val="center" w:pos="4419"/>
        <w:tab w:val="right" w:pos="8838"/>
      </w:tabs>
    </w:pPr>
  </w:style>
  <w:style w:type="character" w:customStyle="1" w:styleId="PiedepginaCar">
    <w:name w:val="Pie de página Car"/>
    <w:basedOn w:val="Fuentedeprrafopredeter"/>
    <w:link w:val="Piedepgina"/>
    <w:uiPriority w:val="99"/>
    <w:rsid w:val="009B04B5"/>
  </w:style>
  <w:style w:type="paragraph" w:styleId="Prrafodelista">
    <w:name w:val="List Paragraph"/>
    <w:aliases w:val="List,titulo 3,Ha,Resume Title,Párrafo de lista1,Bullets,Elabora,Fluvial1,Cuadrícula clara - Énfasis 31,Normal. Viñetas,HOJA,Bolita,Párrafo de lista4,BOLADEF,Párrafo de lista3,Párrafo de lista21,BOLA,Nivel 1 OS,Párrafo de lista2"/>
    <w:basedOn w:val="Normal"/>
    <w:link w:val="PrrafodelistaCar"/>
    <w:uiPriority w:val="34"/>
    <w:qFormat/>
    <w:rsid w:val="00F33CA9"/>
    <w:pPr>
      <w:ind w:left="720"/>
      <w:contextualSpacing/>
    </w:pPr>
  </w:style>
  <w:style w:type="character" w:styleId="Hipervnculo">
    <w:name w:val="Hyperlink"/>
    <w:basedOn w:val="Fuentedeprrafopredeter"/>
    <w:uiPriority w:val="99"/>
    <w:unhideWhenUsed/>
    <w:rsid w:val="00915B16"/>
    <w:rPr>
      <w:color w:val="0563C1" w:themeColor="hyperlink"/>
      <w:u w:val="single"/>
    </w:rPr>
  </w:style>
  <w:style w:type="paragraph" w:styleId="Textodeglobo">
    <w:name w:val="Balloon Text"/>
    <w:basedOn w:val="Normal"/>
    <w:link w:val="TextodegloboCar"/>
    <w:uiPriority w:val="99"/>
    <w:semiHidden/>
    <w:unhideWhenUsed/>
    <w:rsid w:val="00F106C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106CA"/>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9E05E3"/>
    <w:rPr>
      <w:color w:val="605E5C"/>
      <w:shd w:val="clear" w:color="auto" w:fill="E1DFDD"/>
    </w:rPr>
  </w:style>
  <w:style w:type="character" w:customStyle="1" w:styleId="Ttulo1Car">
    <w:name w:val="Título 1 Car"/>
    <w:basedOn w:val="Fuentedeprrafopredeter"/>
    <w:link w:val="Ttulo1"/>
    <w:uiPriority w:val="9"/>
    <w:rsid w:val="00912E95"/>
    <w:rPr>
      <w:rFonts w:asciiTheme="majorHAnsi" w:eastAsiaTheme="majorEastAsia" w:hAnsiTheme="majorHAnsi" w:cstheme="majorBidi"/>
      <w:color w:val="2E74B5" w:themeColor="accent1" w:themeShade="BF"/>
      <w:sz w:val="32"/>
      <w:szCs w:val="32"/>
      <w:lang w:val="en-US"/>
    </w:rPr>
  </w:style>
  <w:style w:type="paragraph" w:styleId="Descripcin">
    <w:name w:val="caption"/>
    <w:basedOn w:val="Normal"/>
    <w:next w:val="Normal"/>
    <w:uiPriority w:val="35"/>
    <w:semiHidden/>
    <w:unhideWhenUsed/>
    <w:qFormat/>
    <w:rsid w:val="00912E95"/>
    <w:pPr>
      <w:spacing w:after="200"/>
    </w:pPr>
    <w:rPr>
      <w:i/>
      <w:iCs/>
      <w:color w:val="44546A" w:themeColor="text2"/>
      <w:sz w:val="18"/>
      <w:szCs w:val="18"/>
    </w:rPr>
  </w:style>
  <w:style w:type="paragraph" w:styleId="Bibliografa">
    <w:name w:val="Bibliography"/>
    <w:basedOn w:val="Normal"/>
    <w:next w:val="Normal"/>
    <w:uiPriority w:val="37"/>
    <w:unhideWhenUsed/>
    <w:rsid w:val="00912E95"/>
    <w:pPr>
      <w:spacing w:line="256" w:lineRule="auto"/>
    </w:pPr>
  </w:style>
  <w:style w:type="table" w:styleId="Tablaconcuadrcula">
    <w:name w:val="Table Grid"/>
    <w:basedOn w:val="Tablanormal"/>
    <w:uiPriority w:val="39"/>
    <w:rsid w:val="00E83DAB"/>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83DAB"/>
    <w:pPr>
      <w:spacing w:before="100" w:beforeAutospacing="1" w:after="100" w:afterAutospacing="1"/>
    </w:pPr>
    <w:rPr>
      <w:rFonts w:eastAsia="Times New Roman"/>
      <w:lang w:eastAsia="es-CO"/>
    </w:rPr>
  </w:style>
  <w:style w:type="character" w:customStyle="1" w:styleId="Mencinsinresolver2">
    <w:name w:val="Mención sin resolver2"/>
    <w:basedOn w:val="Fuentedeprrafopredeter"/>
    <w:uiPriority w:val="99"/>
    <w:rsid w:val="00E83DAB"/>
    <w:rPr>
      <w:color w:val="605E5C"/>
      <w:shd w:val="clear" w:color="auto" w:fill="E1DFDD"/>
    </w:rPr>
  </w:style>
  <w:style w:type="character" w:styleId="Textoennegrita">
    <w:name w:val="Strong"/>
    <w:basedOn w:val="Fuentedeprrafopredeter"/>
    <w:uiPriority w:val="22"/>
    <w:qFormat/>
    <w:rsid w:val="00F13A8C"/>
    <w:rPr>
      <w:b/>
      <w:bCs/>
    </w:rPr>
  </w:style>
  <w:style w:type="paragraph" w:styleId="Textonotapie">
    <w:name w:val="footnote text"/>
    <w:basedOn w:val="Normal"/>
    <w:link w:val="TextonotapieCar"/>
    <w:uiPriority w:val="99"/>
    <w:unhideWhenUsed/>
    <w:rsid w:val="00695FA7"/>
    <w:rPr>
      <w:sz w:val="20"/>
      <w:szCs w:val="20"/>
      <w:lang w:val="es-ES"/>
    </w:rPr>
  </w:style>
  <w:style w:type="character" w:customStyle="1" w:styleId="TextonotapieCar">
    <w:name w:val="Texto nota pie Car"/>
    <w:basedOn w:val="Fuentedeprrafopredeter"/>
    <w:link w:val="Textonotapie"/>
    <w:uiPriority w:val="99"/>
    <w:rsid w:val="00695FA7"/>
    <w:rPr>
      <w:sz w:val="20"/>
      <w:szCs w:val="20"/>
      <w:lang w:val="es-ES"/>
    </w:rPr>
  </w:style>
  <w:style w:type="character" w:styleId="Refdenotaalpie">
    <w:name w:val="footnote reference"/>
    <w:basedOn w:val="Fuentedeprrafopredeter"/>
    <w:uiPriority w:val="99"/>
    <w:unhideWhenUsed/>
    <w:rsid w:val="00695FA7"/>
    <w:rPr>
      <w:vertAlign w:val="superscript"/>
    </w:rPr>
  </w:style>
  <w:style w:type="character" w:styleId="Refdecomentario">
    <w:name w:val="annotation reference"/>
    <w:basedOn w:val="Fuentedeprrafopredeter"/>
    <w:uiPriority w:val="99"/>
    <w:semiHidden/>
    <w:unhideWhenUsed/>
    <w:rsid w:val="00695FA7"/>
    <w:rPr>
      <w:sz w:val="18"/>
      <w:szCs w:val="18"/>
    </w:rPr>
  </w:style>
  <w:style w:type="paragraph" w:styleId="Textocomentario">
    <w:name w:val="annotation text"/>
    <w:basedOn w:val="Normal"/>
    <w:link w:val="TextocomentarioCar"/>
    <w:uiPriority w:val="99"/>
    <w:semiHidden/>
    <w:unhideWhenUsed/>
    <w:rsid w:val="00695FA7"/>
  </w:style>
  <w:style w:type="character" w:customStyle="1" w:styleId="TextocomentarioCar">
    <w:name w:val="Texto comentario Car"/>
    <w:basedOn w:val="Fuentedeprrafopredeter"/>
    <w:link w:val="Textocomentario"/>
    <w:uiPriority w:val="99"/>
    <w:semiHidden/>
    <w:rsid w:val="00695FA7"/>
    <w:rPr>
      <w:sz w:val="24"/>
      <w:szCs w:val="24"/>
    </w:rPr>
  </w:style>
  <w:style w:type="paragraph" w:styleId="Asuntodelcomentario">
    <w:name w:val="annotation subject"/>
    <w:basedOn w:val="Textocomentario"/>
    <w:next w:val="Textocomentario"/>
    <w:link w:val="AsuntodelcomentarioCar"/>
    <w:uiPriority w:val="99"/>
    <w:semiHidden/>
    <w:unhideWhenUsed/>
    <w:rsid w:val="00695FA7"/>
    <w:rPr>
      <w:b/>
      <w:bCs/>
      <w:sz w:val="20"/>
      <w:szCs w:val="20"/>
    </w:rPr>
  </w:style>
  <w:style w:type="character" w:customStyle="1" w:styleId="AsuntodelcomentarioCar">
    <w:name w:val="Asunto del comentario Car"/>
    <w:basedOn w:val="TextocomentarioCar"/>
    <w:link w:val="Asuntodelcomentario"/>
    <w:uiPriority w:val="99"/>
    <w:semiHidden/>
    <w:rsid w:val="00695FA7"/>
    <w:rPr>
      <w:b/>
      <w:bCs/>
      <w:sz w:val="20"/>
      <w:szCs w:val="20"/>
    </w:rPr>
  </w:style>
  <w:style w:type="table" w:styleId="Tablaconcuadrcula1clara-nfasis3">
    <w:name w:val="Grid Table 1 Light Accent 3"/>
    <w:basedOn w:val="Tablanormal"/>
    <w:uiPriority w:val="46"/>
    <w:rsid w:val="00A12BF7"/>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anormal4">
    <w:name w:val="Plain Table 4"/>
    <w:basedOn w:val="Tablanormal"/>
    <w:uiPriority w:val="44"/>
    <w:rsid w:val="0074128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delmarcadordeposicin">
    <w:name w:val="Placeholder Text"/>
    <w:basedOn w:val="Fuentedeprrafopredeter"/>
    <w:uiPriority w:val="99"/>
    <w:semiHidden/>
    <w:rsid w:val="005A5ABF"/>
    <w:rPr>
      <w:color w:val="808080"/>
    </w:rPr>
  </w:style>
  <w:style w:type="table" w:customStyle="1" w:styleId="Tablaconcuadrcula3">
    <w:name w:val="Tabla con cuadrícula3"/>
    <w:basedOn w:val="Tablanormal"/>
    <w:next w:val="Tablaconcuadrcula"/>
    <w:uiPriority w:val="39"/>
    <w:rsid w:val="003E540F"/>
    <w:pPr>
      <w:spacing w:after="0" w:line="240" w:lineRule="auto"/>
    </w:pPr>
    <w:rPr>
      <w:rFonts w:ascii="Calibri" w:eastAsia="Calibri" w:hAnsi="Calibri" w:cs="Times New Roman"/>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D638E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PrrafodelistaCar">
    <w:name w:val="Párrafo de lista Car"/>
    <w:aliases w:val="List Car,titulo 3 Car,Ha Car,Resume Title Car,Párrafo de lista1 Car,Bullets Car,Elabora Car,Fluvial1 Car,Cuadrícula clara - Énfasis 31 Car,Normal. Viñetas Car,HOJA Car,Bolita Car,Párrafo de lista4 Car,BOLADEF Car,BOLA Car"/>
    <w:link w:val="Prrafodelista"/>
    <w:uiPriority w:val="34"/>
    <w:qFormat/>
    <w:locked/>
    <w:rsid w:val="00D638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09626">
      <w:bodyDiv w:val="1"/>
      <w:marLeft w:val="0"/>
      <w:marRight w:val="0"/>
      <w:marTop w:val="0"/>
      <w:marBottom w:val="0"/>
      <w:divBdr>
        <w:top w:val="none" w:sz="0" w:space="0" w:color="auto"/>
        <w:left w:val="none" w:sz="0" w:space="0" w:color="auto"/>
        <w:bottom w:val="none" w:sz="0" w:space="0" w:color="auto"/>
        <w:right w:val="none" w:sz="0" w:space="0" w:color="auto"/>
      </w:divBdr>
      <w:divsChild>
        <w:div w:id="814835299">
          <w:marLeft w:val="0"/>
          <w:marRight w:val="0"/>
          <w:marTop w:val="0"/>
          <w:marBottom w:val="0"/>
          <w:divBdr>
            <w:top w:val="none" w:sz="0" w:space="0" w:color="auto"/>
            <w:left w:val="none" w:sz="0" w:space="0" w:color="auto"/>
            <w:bottom w:val="none" w:sz="0" w:space="0" w:color="auto"/>
            <w:right w:val="none" w:sz="0" w:space="0" w:color="auto"/>
          </w:divBdr>
          <w:divsChild>
            <w:div w:id="1844776365">
              <w:marLeft w:val="0"/>
              <w:marRight w:val="0"/>
              <w:marTop w:val="0"/>
              <w:marBottom w:val="0"/>
              <w:divBdr>
                <w:top w:val="none" w:sz="0" w:space="0" w:color="auto"/>
                <w:left w:val="none" w:sz="0" w:space="0" w:color="auto"/>
                <w:bottom w:val="none" w:sz="0" w:space="0" w:color="auto"/>
                <w:right w:val="none" w:sz="0" w:space="0" w:color="auto"/>
              </w:divBdr>
              <w:divsChild>
                <w:div w:id="54633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21720">
      <w:bodyDiv w:val="1"/>
      <w:marLeft w:val="0"/>
      <w:marRight w:val="0"/>
      <w:marTop w:val="0"/>
      <w:marBottom w:val="0"/>
      <w:divBdr>
        <w:top w:val="none" w:sz="0" w:space="0" w:color="auto"/>
        <w:left w:val="none" w:sz="0" w:space="0" w:color="auto"/>
        <w:bottom w:val="none" w:sz="0" w:space="0" w:color="auto"/>
        <w:right w:val="none" w:sz="0" w:space="0" w:color="auto"/>
      </w:divBdr>
    </w:div>
    <w:div w:id="67192025">
      <w:bodyDiv w:val="1"/>
      <w:marLeft w:val="0"/>
      <w:marRight w:val="0"/>
      <w:marTop w:val="0"/>
      <w:marBottom w:val="0"/>
      <w:divBdr>
        <w:top w:val="none" w:sz="0" w:space="0" w:color="auto"/>
        <w:left w:val="none" w:sz="0" w:space="0" w:color="auto"/>
        <w:bottom w:val="none" w:sz="0" w:space="0" w:color="auto"/>
        <w:right w:val="none" w:sz="0" w:space="0" w:color="auto"/>
      </w:divBdr>
    </w:div>
    <w:div w:id="107358123">
      <w:bodyDiv w:val="1"/>
      <w:marLeft w:val="0"/>
      <w:marRight w:val="0"/>
      <w:marTop w:val="0"/>
      <w:marBottom w:val="0"/>
      <w:divBdr>
        <w:top w:val="none" w:sz="0" w:space="0" w:color="auto"/>
        <w:left w:val="none" w:sz="0" w:space="0" w:color="auto"/>
        <w:bottom w:val="none" w:sz="0" w:space="0" w:color="auto"/>
        <w:right w:val="none" w:sz="0" w:space="0" w:color="auto"/>
      </w:divBdr>
    </w:div>
    <w:div w:id="197669115">
      <w:bodyDiv w:val="1"/>
      <w:marLeft w:val="0"/>
      <w:marRight w:val="0"/>
      <w:marTop w:val="0"/>
      <w:marBottom w:val="0"/>
      <w:divBdr>
        <w:top w:val="none" w:sz="0" w:space="0" w:color="auto"/>
        <w:left w:val="none" w:sz="0" w:space="0" w:color="auto"/>
        <w:bottom w:val="none" w:sz="0" w:space="0" w:color="auto"/>
        <w:right w:val="none" w:sz="0" w:space="0" w:color="auto"/>
      </w:divBdr>
    </w:div>
    <w:div w:id="223761759">
      <w:bodyDiv w:val="1"/>
      <w:marLeft w:val="0"/>
      <w:marRight w:val="0"/>
      <w:marTop w:val="0"/>
      <w:marBottom w:val="0"/>
      <w:divBdr>
        <w:top w:val="none" w:sz="0" w:space="0" w:color="auto"/>
        <w:left w:val="none" w:sz="0" w:space="0" w:color="auto"/>
        <w:bottom w:val="none" w:sz="0" w:space="0" w:color="auto"/>
        <w:right w:val="none" w:sz="0" w:space="0" w:color="auto"/>
      </w:divBdr>
    </w:div>
    <w:div w:id="280575226">
      <w:bodyDiv w:val="1"/>
      <w:marLeft w:val="0"/>
      <w:marRight w:val="0"/>
      <w:marTop w:val="0"/>
      <w:marBottom w:val="0"/>
      <w:divBdr>
        <w:top w:val="none" w:sz="0" w:space="0" w:color="auto"/>
        <w:left w:val="none" w:sz="0" w:space="0" w:color="auto"/>
        <w:bottom w:val="none" w:sz="0" w:space="0" w:color="auto"/>
        <w:right w:val="none" w:sz="0" w:space="0" w:color="auto"/>
      </w:divBdr>
    </w:div>
    <w:div w:id="413282328">
      <w:bodyDiv w:val="1"/>
      <w:marLeft w:val="0"/>
      <w:marRight w:val="0"/>
      <w:marTop w:val="0"/>
      <w:marBottom w:val="0"/>
      <w:divBdr>
        <w:top w:val="none" w:sz="0" w:space="0" w:color="auto"/>
        <w:left w:val="none" w:sz="0" w:space="0" w:color="auto"/>
        <w:bottom w:val="none" w:sz="0" w:space="0" w:color="auto"/>
        <w:right w:val="none" w:sz="0" w:space="0" w:color="auto"/>
      </w:divBdr>
    </w:div>
    <w:div w:id="438793174">
      <w:bodyDiv w:val="1"/>
      <w:marLeft w:val="0"/>
      <w:marRight w:val="0"/>
      <w:marTop w:val="0"/>
      <w:marBottom w:val="0"/>
      <w:divBdr>
        <w:top w:val="none" w:sz="0" w:space="0" w:color="auto"/>
        <w:left w:val="none" w:sz="0" w:space="0" w:color="auto"/>
        <w:bottom w:val="none" w:sz="0" w:space="0" w:color="auto"/>
        <w:right w:val="none" w:sz="0" w:space="0" w:color="auto"/>
      </w:divBdr>
    </w:div>
    <w:div w:id="569582647">
      <w:bodyDiv w:val="1"/>
      <w:marLeft w:val="0"/>
      <w:marRight w:val="0"/>
      <w:marTop w:val="0"/>
      <w:marBottom w:val="0"/>
      <w:divBdr>
        <w:top w:val="none" w:sz="0" w:space="0" w:color="auto"/>
        <w:left w:val="none" w:sz="0" w:space="0" w:color="auto"/>
        <w:bottom w:val="none" w:sz="0" w:space="0" w:color="auto"/>
        <w:right w:val="none" w:sz="0" w:space="0" w:color="auto"/>
      </w:divBdr>
      <w:divsChild>
        <w:div w:id="795295459">
          <w:marLeft w:val="0"/>
          <w:marRight w:val="0"/>
          <w:marTop w:val="0"/>
          <w:marBottom w:val="0"/>
          <w:divBdr>
            <w:top w:val="none" w:sz="0" w:space="0" w:color="auto"/>
            <w:left w:val="none" w:sz="0" w:space="0" w:color="auto"/>
            <w:bottom w:val="none" w:sz="0" w:space="0" w:color="auto"/>
            <w:right w:val="none" w:sz="0" w:space="0" w:color="auto"/>
          </w:divBdr>
          <w:divsChild>
            <w:div w:id="1088845320">
              <w:marLeft w:val="0"/>
              <w:marRight w:val="0"/>
              <w:marTop w:val="0"/>
              <w:marBottom w:val="0"/>
              <w:divBdr>
                <w:top w:val="none" w:sz="0" w:space="0" w:color="auto"/>
                <w:left w:val="none" w:sz="0" w:space="0" w:color="auto"/>
                <w:bottom w:val="none" w:sz="0" w:space="0" w:color="auto"/>
                <w:right w:val="none" w:sz="0" w:space="0" w:color="auto"/>
              </w:divBdr>
              <w:divsChild>
                <w:div w:id="157030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810559">
      <w:bodyDiv w:val="1"/>
      <w:marLeft w:val="0"/>
      <w:marRight w:val="0"/>
      <w:marTop w:val="0"/>
      <w:marBottom w:val="0"/>
      <w:divBdr>
        <w:top w:val="none" w:sz="0" w:space="0" w:color="auto"/>
        <w:left w:val="none" w:sz="0" w:space="0" w:color="auto"/>
        <w:bottom w:val="none" w:sz="0" w:space="0" w:color="auto"/>
        <w:right w:val="none" w:sz="0" w:space="0" w:color="auto"/>
      </w:divBdr>
    </w:div>
    <w:div w:id="724371874">
      <w:bodyDiv w:val="1"/>
      <w:marLeft w:val="0"/>
      <w:marRight w:val="0"/>
      <w:marTop w:val="0"/>
      <w:marBottom w:val="0"/>
      <w:divBdr>
        <w:top w:val="none" w:sz="0" w:space="0" w:color="auto"/>
        <w:left w:val="none" w:sz="0" w:space="0" w:color="auto"/>
        <w:bottom w:val="none" w:sz="0" w:space="0" w:color="auto"/>
        <w:right w:val="none" w:sz="0" w:space="0" w:color="auto"/>
      </w:divBdr>
    </w:div>
    <w:div w:id="877930226">
      <w:bodyDiv w:val="1"/>
      <w:marLeft w:val="0"/>
      <w:marRight w:val="0"/>
      <w:marTop w:val="0"/>
      <w:marBottom w:val="0"/>
      <w:divBdr>
        <w:top w:val="none" w:sz="0" w:space="0" w:color="auto"/>
        <w:left w:val="none" w:sz="0" w:space="0" w:color="auto"/>
        <w:bottom w:val="none" w:sz="0" w:space="0" w:color="auto"/>
        <w:right w:val="none" w:sz="0" w:space="0" w:color="auto"/>
      </w:divBdr>
    </w:div>
    <w:div w:id="1030033290">
      <w:bodyDiv w:val="1"/>
      <w:marLeft w:val="0"/>
      <w:marRight w:val="0"/>
      <w:marTop w:val="0"/>
      <w:marBottom w:val="0"/>
      <w:divBdr>
        <w:top w:val="none" w:sz="0" w:space="0" w:color="auto"/>
        <w:left w:val="none" w:sz="0" w:space="0" w:color="auto"/>
        <w:bottom w:val="none" w:sz="0" w:space="0" w:color="auto"/>
        <w:right w:val="none" w:sz="0" w:space="0" w:color="auto"/>
      </w:divBdr>
    </w:div>
    <w:div w:id="1070008007">
      <w:bodyDiv w:val="1"/>
      <w:marLeft w:val="0"/>
      <w:marRight w:val="0"/>
      <w:marTop w:val="0"/>
      <w:marBottom w:val="0"/>
      <w:divBdr>
        <w:top w:val="none" w:sz="0" w:space="0" w:color="auto"/>
        <w:left w:val="none" w:sz="0" w:space="0" w:color="auto"/>
        <w:bottom w:val="none" w:sz="0" w:space="0" w:color="auto"/>
        <w:right w:val="none" w:sz="0" w:space="0" w:color="auto"/>
      </w:divBdr>
      <w:divsChild>
        <w:div w:id="1188909113">
          <w:marLeft w:val="0"/>
          <w:marRight w:val="0"/>
          <w:marTop w:val="0"/>
          <w:marBottom w:val="0"/>
          <w:divBdr>
            <w:top w:val="none" w:sz="0" w:space="0" w:color="auto"/>
            <w:left w:val="none" w:sz="0" w:space="0" w:color="auto"/>
            <w:bottom w:val="none" w:sz="0" w:space="0" w:color="auto"/>
            <w:right w:val="none" w:sz="0" w:space="0" w:color="auto"/>
          </w:divBdr>
          <w:divsChild>
            <w:div w:id="1797944934">
              <w:marLeft w:val="0"/>
              <w:marRight w:val="0"/>
              <w:marTop w:val="0"/>
              <w:marBottom w:val="0"/>
              <w:divBdr>
                <w:top w:val="none" w:sz="0" w:space="0" w:color="auto"/>
                <w:left w:val="none" w:sz="0" w:space="0" w:color="auto"/>
                <w:bottom w:val="none" w:sz="0" w:space="0" w:color="auto"/>
                <w:right w:val="none" w:sz="0" w:space="0" w:color="auto"/>
              </w:divBdr>
              <w:divsChild>
                <w:div w:id="95331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434685">
      <w:bodyDiv w:val="1"/>
      <w:marLeft w:val="0"/>
      <w:marRight w:val="0"/>
      <w:marTop w:val="0"/>
      <w:marBottom w:val="0"/>
      <w:divBdr>
        <w:top w:val="none" w:sz="0" w:space="0" w:color="auto"/>
        <w:left w:val="none" w:sz="0" w:space="0" w:color="auto"/>
        <w:bottom w:val="none" w:sz="0" w:space="0" w:color="auto"/>
        <w:right w:val="none" w:sz="0" w:space="0" w:color="auto"/>
      </w:divBdr>
    </w:div>
    <w:div w:id="1377965914">
      <w:bodyDiv w:val="1"/>
      <w:marLeft w:val="0"/>
      <w:marRight w:val="0"/>
      <w:marTop w:val="0"/>
      <w:marBottom w:val="0"/>
      <w:divBdr>
        <w:top w:val="none" w:sz="0" w:space="0" w:color="auto"/>
        <w:left w:val="none" w:sz="0" w:space="0" w:color="auto"/>
        <w:bottom w:val="none" w:sz="0" w:space="0" w:color="auto"/>
        <w:right w:val="none" w:sz="0" w:space="0" w:color="auto"/>
      </w:divBdr>
    </w:div>
    <w:div w:id="1479037188">
      <w:bodyDiv w:val="1"/>
      <w:marLeft w:val="0"/>
      <w:marRight w:val="0"/>
      <w:marTop w:val="0"/>
      <w:marBottom w:val="0"/>
      <w:divBdr>
        <w:top w:val="none" w:sz="0" w:space="0" w:color="auto"/>
        <w:left w:val="none" w:sz="0" w:space="0" w:color="auto"/>
        <w:bottom w:val="none" w:sz="0" w:space="0" w:color="auto"/>
        <w:right w:val="none" w:sz="0" w:space="0" w:color="auto"/>
      </w:divBdr>
    </w:div>
    <w:div w:id="1483959239">
      <w:bodyDiv w:val="1"/>
      <w:marLeft w:val="0"/>
      <w:marRight w:val="0"/>
      <w:marTop w:val="0"/>
      <w:marBottom w:val="0"/>
      <w:divBdr>
        <w:top w:val="none" w:sz="0" w:space="0" w:color="auto"/>
        <w:left w:val="none" w:sz="0" w:space="0" w:color="auto"/>
        <w:bottom w:val="none" w:sz="0" w:space="0" w:color="auto"/>
        <w:right w:val="none" w:sz="0" w:space="0" w:color="auto"/>
      </w:divBdr>
    </w:div>
    <w:div w:id="1544057454">
      <w:bodyDiv w:val="1"/>
      <w:marLeft w:val="0"/>
      <w:marRight w:val="0"/>
      <w:marTop w:val="0"/>
      <w:marBottom w:val="0"/>
      <w:divBdr>
        <w:top w:val="none" w:sz="0" w:space="0" w:color="auto"/>
        <w:left w:val="none" w:sz="0" w:space="0" w:color="auto"/>
        <w:bottom w:val="none" w:sz="0" w:space="0" w:color="auto"/>
        <w:right w:val="none" w:sz="0" w:space="0" w:color="auto"/>
      </w:divBdr>
    </w:div>
    <w:div w:id="1607350943">
      <w:bodyDiv w:val="1"/>
      <w:marLeft w:val="0"/>
      <w:marRight w:val="0"/>
      <w:marTop w:val="0"/>
      <w:marBottom w:val="0"/>
      <w:divBdr>
        <w:top w:val="none" w:sz="0" w:space="0" w:color="auto"/>
        <w:left w:val="none" w:sz="0" w:space="0" w:color="auto"/>
        <w:bottom w:val="none" w:sz="0" w:space="0" w:color="auto"/>
        <w:right w:val="none" w:sz="0" w:space="0" w:color="auto"/>
      </w:divBdr>
    </w:div>
    <w:div w:id="1671324108">
      <w:bodyDiv w:val="1"/>
      <w:marLeft w:val="0"/>
      <w:marRight w:val="0"/>
      <w:marTop w:val="0"/>
      <w:marBottom w:val="0"/>
      <w:divBdr>
        <w:top w:val="none" w:sz="0" w:space="0" w:color="auto"/>
        <w:left w:val="none" w:sz="0" w:space="0" w:color="auto"/>
        <w:bottom w:val="none" w:sz="0" w:space="0" w:color="auto"/>
        <w:right w:val="none" w:sz="0" w:space="0" w:color="auto"/>
      </w:divBdr>
      <w:divsChild>
        <w:div w:id="1489634784">
          <w:marLeft w:val="0"/>
          <w:marRight w:val="0"/>
          <w:marTop w:val="0"/>
          <w:marBottom w:val="0"/>
          <w:divBdr>
            <w:top w:val="none" w:sz="0" w:space="0" w:color="auto"/>
            <w:left w:val="none" w:sz="0" w:space="0" w:color="auto"/>
            <w:bottom w:val="none" w:sz="0" w:space="0" w:color="auto"/>
            <w:right w:val="none" w:sz="0" w:space="0" w:color="auto"/>
          </w:divBdr>
          <w:divsChild>
            <w:div w:id="1125002165">
              <w:marLeft w:val="0"/>
              <w:marRight w:val="0"/>
              <w:marTop w:val="0"/>
              <w:marBottom w:val="0"/>
              <w:divBdr>
                <w:top w:val="none" w:sz="0" w:space="0" w:color="auto"/>
                <w:left w:val="none" w:sz="0" w:space="0" w:color="auto"/>
                <w:bottom w:val="none" w:sz="0" w:space="0" w:color="auto"/>
                <w:right w:val="none" w:sz="0" w:space="0" w:color="auto"/>
              </w:divBdr>
              <w:divsChild>
                <w:div w:id="135530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5813">
      <w:bodyDiv w:val="1"/>
      <w:marLeft w:val="0"/>
      <w:marRight w:val="0"/>
      <w:marTop w:val="0"/>
      <w:marBottom w:val="0"/>
      <w:divBdr>
        <w:top w:val="none" w:sz="0" w:space="0" w:color="auto"/>
        <w:left w:val="none" w:sz="0" w:space="0" w:color="auto"/>
        <w:bottom w:val="none" w:sz="0" w:space="0" w:color="auto"/>
        <w:right w:val="none" w:sz="0" w:space="0" w:color="auto"/>
      </w:divBdr>
      <w:divsChild>
        <w:div w:id="1323197372">
          <w:marLeft w:val="0"/>
          <w:marRight w:val="0"/>
          <w:marTop w:val="0"/>
          <w:marBottom w:val="0"/>
          <w:divBdr>
            <w:top w:val="none" w:sz="0" w:space="0" w:color="auto"/>
            <w:left w:val="none" w:sz="0" w:space="0" w:color="auto"/>
            <w:bottom w:val="none" w:sz="0" w:space="0" w:color="auto"/>
            <w:right w:val="none" w:sz="0" w:space="0" w:color="auto"/>
          </w:divBdr>
        </w:div>
        <w:div w:id="1986467127">
          <w:marLeft w:val="0"/>
          <w:marRight w:val="0"/>
          <w:marTop w:val="0"/>
          <w:marBottom w:val="0"/>
          <w:divBdr>
            <w:top w:val="none" w:sz="0" w:space="0" w:color="auto"/>
            <w:left w:val="none" w:sz="0" w:space="0" w:color="auto"/>
            <w:bottom w:val="none" w:sz="0" w:space="0" w:color="auto"/>
            <w:right w:val="none" w:sz="0" w:space="0" w:color="auto"/>
          </w:divBdr>
          <w:divsChild>
            <w:div w:id="1085296444">
              <w:marLeft w:val="0"/>
              <w:marRight w:val="0"/>
              <w:marTop w:val="0"/>
              <w:marBottom w:val="0"/>
              <w:divBdr>
                <w:top w:val="none" w:sz="0" w:space="0" w:color="auto"/>
                <w:left w:val="none" w:sz="0" w:space="0" w:color="auto"/>
                <w:bottom w:val="none" w:sz="0" w:space="0" w:color="auto"/>
                <w:right w:val="none" w:sz="0" w:space="0" w:color="auto"/>
              </w:divBdr>
            </w:div>
            <w:div w:id="1163618768">
              <w:marLeft w:val="0"/>
              <w:marRight w:val="0"/>
              <w:marTop w:val="0"/>
              <w:marBottom w:val="0"/>
              <w:divBdr>
                <w:top w:val="none" w:sz="0" w:space="0" w:color="auto"/>
                <w:left w:val="none" w:sz="0" w:space="0" w:color="auto"/>
                <w:bottom w:val="none" w:sz="0" w:space="0" w:color="auto"/>
                <w:right w:val="none" w:sz="0" w:space="0" w:color="auto"/>
              </w:divBdr>
            </w:div>
            <w:div w:id="15068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509225">
      <w:bodyDiv w:val="1"/>
      <w:marLeft w:val="0"/>
      <w:marRight w:val="0"/>
      <w:marTop w:val="0"/>
      <w:marBottom w:val="0"/>
      <w:divBdr>
        <w:top w:val="none" w:sz="0" w:space="0" w:color="auto"/>
        <w:left w:val="none" w:sz="0" w:space="0" w:color="auto"/>
        <w:bottom w:val="none" w:sz="0" w:space="0" w:color="auto"/>
        <w:right w:val="none" w:sz="0" w:space="0" w:color="auto"/>
      </w:divBdr>
      <w:divsChild>
        <w:div w:id="1103525865">
          <w:marLeft w:val="0"/>
          <w:marRight w:val="0"/>
          <w:marTop w:val="0"/>
          <w:marBottom w:val="0"/>
          <w:divBdr>
            <w:top w:val="none" w:sz="0" w:space="0" w:color="auto"/>
            <w:left w:val="none" w:sz="0" w:space="0" w:color="auto"/>
            <w:bottom w:val="none" w:sz="0" w:space="0" w:color="auto"/>
            <w:right w:val="none" w:sz="0" w:space="0" w:color="auto"/>
          </w:divBdr>
          <w:divsChild>
            <w:div w:id="1493256189">
              <w:marLeft w:val="0"/>
              <w:marRight w:val="0"/>
              <w:marTop w:val="0"/>
              <w:marBottom w:val="0"/>
              <w:divBdr>
                <w:top w:val="none" w:sz="0" w:space="0" w:color="auto"/>
                <w:left w:val="none" w:sz="0" w:space="0" w:color="auto"/>
                <w:bottom w:val="none" w:sz="0" w:space="0" w:color="auto"/>
                <w:right w:val="none" w:sz="0" w:space="0" w:color="auto"/>
              </w:divBdr>
              <w:divsChild>
                <w:div w:id="91883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124412">
          <w:marLeft w:val="0"/>
          <w:marRight w:val="0"/>
          <w:marTop w:val="0"/>
          <w:marBottom w:val="0"/>
          <w:divBdr>
            <w:top w:val="none" w:sz="0" w:space="0" w:color="auto"/>
            <w:left w:val="none" w:sz="0" w:space="0" w:color="auto"/>
            <w:bottom w:val="none" w:sz="0" w:space="0" w:color="auto"/>
            <w:right w:val="none" w:sz="0" w:space="0" w:color="auto"/>
          </w:divBdr>
          <w:divsChild>
            <w:div w:id="1039360393">
              <w:marLeft w:val="0"/>
              <w:marRight w:val="0"/>
              <w:marTop w:val="0"/>
              <w:marBottom w:val="0"/>
              <w:divBdr>
                <w:top w:val="none" w:sz="0" w:space="0" w:color="auto"/>
                <w:left w:val="none" w:sz="0" w:space="0" w:color="auto"/>
                <w:bottom w:val="none" w:sz="0" w:space="0" w:color="auto"/>
                <w:right w:val="none" w:sz="0" w:space="0" w:color="auto"/>
              </w:divBdr>
              <w:divsChild>
                <w:div w:id="14271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049801">
          <w:marLeft w:val="0"/>
          <w:marRight w:val="0"/>
          <w:marTop w:val="0"/>
          <w:marBottom w:val="0"/>
          <w:divBdr>
            <w:top w:val="none" w:sz="0" w:space="0" w:color="auto"/>
            <w:left w:val="none" w:sz="0" w:space="0" w:color="auto"/>
            <w:bottom w:val="none" w:sz="0" w:space="0" w:color="auto"/>
            <w:right w:val="none" w:sz="0" w:space="0" w:color="auto"/>
          </w:divBdr>
          <w:divsChild>
            <w:div w:id="1798139462">
              <w:marLeft w:val="0"/>
              <w:marRight w:val="0"/>
              <w:marTop w:val="0"/>
              <w:marBottom w:val="0"/>
              <w:divBdr>
                <w:top w:val="none" w:sz="0" w:space="0" w:color="auto"/>
                <w:left w:val="none" w:sz="0" w:space="0" w:color="auto"/>
                <w:bottom w:val="none" w:sz="0" w:space="0" w:color="auto"/>
                <w:right w:val="none" w:sz="0" w:space="0" w:color="auto"/>
              </w:divBdr>
              <w:divsChild>
                <w:div w:id="101156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50042">
      <w:bodyDiv w:val="1"/>
      <w:marLeft w:val="0"/>
      <w:marRight w:val="0"/>
      <w:marTop w:val="0"/>
      <w:marBottom w:val="0"/>
      <w:divBdr>
        <w:top w:val="none" w:sz="0" w:space="0" w:color="auto"/>
        <w:left w:val="none" w:sz="0" w:space="0" w:color="auto"/>
        <w:bottom w:val="none" w:sz="0" w:space="0" w:color="auto"/>
        <w:right w:val="none" w:sz="0" w:space="0" w:color="auto"/>
      </w:divBdr>
    </w:div>
    <w:div w:id="1979070922">
      <w:bodyDiv w:val="1"/>
      <w:marLeft w:val="0"/>
      <w:marRight w:val="0"/>
      <w:marTop w:val="0"/>
      <w:marBottom w:val="0"/>
      <w:divBdr>
        <w:top w:val="none" w:sz="0" w:space="0" w:color="auto"/>
        <w:left w:val="none" w:sz="0" w:space="0" w:color="auto"/>
        <w:bottom w:val="none" w:sz="0" w:space="0" w:color="auto"/>
        <w:right w:val="none" w:sz="0" w:space="0" w:color="auto"/>
      </w:divBdr>
    </w:div>
    <w:div w:id="2047026664">
      <w:bodyDiv w:val="1"/>
      <w:marLeft w:val="0"/>
      <w:marRight w:val="0"/>
      <w:marTop w:val="0"/>
      <w:marBottom w:val="0"/>
      <w:divBdr>
        <w:top w:val="none" w:sz="0" w:space="0" w:color="auto"/>
        <w:left w:val="none" w:sz="0" w:space="0" w:color="auto"/>
        <w:bottom w:val="none" w:sz="0" w:space="0" w:color="auto"/>
        <w:right w:val="none" w:sz="0" w:space="0" w:color="auto"/>
      </w:divBdr>
      <w:divsChild>
        <w:div w:id="1588807041">
          <w:marLeft w:val="0"/>
          <w:marRight w:val="0"/>
          <w:marTop w:val="0"/>
          <w:marBottom w:val="0"/>
          <w:divBdr>
            <w:top w:val="none" w:sz="0" w:space="0" w:color="auto"/>
            <w:left w:val="none" w:sz="0" w:space="0" w:color="auto"/>
            <w:bottom w:val="none" w:sz="0" w:space="0" w:color="auto"/>
            <w:right w:val="none" w:sz="0" w:space="0" w:color="auto"/>
          </w:divBdr>
        </w:div>
        <w:div w:id="1473401671">
          <w:marLeft w:val="0"/>
          <w:marRight w:val="0"/>
          <w:marTop w:val="0"/>
          <w:marBottom w:val="0"/>
          <w:divBdr>
            <w:top w:val="none" w:sz="0" w:space="0" w:color="auto"/>
            <w:left w:val="none" w:sz="0" w:space="0" w:color="auto"/>
            <w:bottom w:val="none" w:sz="0" w:space="0" w:color="auto"/>
            <w:right w:val="none" w:sz="0" w:space="0" w:color="auto"/>
          </w:divBdr>
          <w:divsChild>
            <w:div w:id="200560638">
              <w:marLeft w:val="0"/>
              <w:marRight w:val="0"/>
              <w:marTop w:val="0"/>
              <w:marBottom w:val="0"/>
              <w:divBdr>
                <w:top w:val="none" w:sz="0" w:space="0" w:color="auto"/>
                <w:left w:val="none" w:sz="0" w:space="0" w:color="auto"/>
                <w:bottom w:val="none" w:sz="0" w:space="0" w:color="auto"/>
                <w:right w:val="none" w:sz="0" w:space="0" w:color="auto"/>
              </w:divBdr>
            </w:div>
            <w:div w:id="175743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964170">
      <w:bodyDiv w:val="1"/>
      <w:marLeft w:val="0"/>
      <w:marRight w:val="0"/>
      <w:marTop w:val="0"/>
      <w:marBottom w:val="0"/>
      <w:divBdr>
        <w:top w:val="none" w:sz="0" w:space="0" w:color="auto"/>
        <w:left w:val="none" w:sz="0" w:space="0" w:color="auto"/>
        <w:bottom w:val="none" w:sz="0" w:space="0" w:color="auto"/>
        <w:right w:val="none" w:sz="0" w:space="0" w:color="auto"/>
      </w:divBdr>
      <w:divsChild>
        <w:div w:id="638346474">
          <w:marLeft w:val="0"/>
          <w:marRight w:val="0"/>
          <w:marTop w:val="0"/>
          <w:marBottom w:val="0"/>
          <w:divBdr>
            <w:top w:val="none" w:sz="0" w:space="0" w:color="auto"/>
            <w:left w:val="none" w:sz="0" w:space="0" w:color="auto"/>
            <w:bottom w:val="none" w:sz="0" w:space="0" w:color="auto"/>
            <w:right w:val="none" w:sz="0" w:space="0" w:color="auto"/>
          </w:divBdr>
          <w:divsChild>
            <w:div w:id="1171876292">
              <w:marLeft w:val="0"/>
              <w:marRight w:val="0"/>
              <w:marTop w:val="0"/>
              <w:marBottom w:val="0"/>
              <w:divBdr>
                <w:top w:val="none" w:sz="0" w:space="0" w:color="auto"/>
                <w:left w:val="none" w:sz="0" w:space="0" w:color="auto"/>
                <w:bottom w:val="none" w:sz="0" w:space="0" w:color="auto"/>
                <w:right w:val="none" w:sz="0" w:space="0" w:color="auto"/>
              </w:divBdr>
              <w:divsChild>
                <w:div w:id="150628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jpeg"/><Relationship Id="rId1" Type="http://schemas.openxmlformats.org/officeDocument/2006/relationships/image" Target="media/image13.png"/><Relationship Id="rId4" Type="http://schemas.openxmlformats.org/officeDocument/2006/relationships/image" Target="media/image16.jpeg"/></Relationships>
</file>

<file path=word/charts/_rels/chart1.xml.rels><?xml version="1.0" encoding="UTF-8" standalone="yes"?>
<Relationships xmlns="http://schemas.openxmlformats.org/package/2006/relationships"><Relationship Id="rId3" Type="http://schemas.openxmlformats.org/officeDocument/2006/relationships/oleObject" Target="file:///\\Users\camilorodriguez\Downloads\Tabla%20de%20indicador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camilorodriguez\Downloads\Tabla%20de%20indicadore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Hoja1!$B$5</c:f>
              <c:strCache>
                <c:ptCount val="1"/>
                <c:pt idx="0">
                  <c:v>Variación</c:v>
                </c:pt>
              </c:strCache>
            </c:strRef>
          </c:tx>
          <c:spPr>
            <a:ln w="28575" cap="rnd">
              <a:solidFill>
                <a:schemeClr val="tx1"/>
              </a:solidFill>
              <a:round/>
            </a:ln>
            <a:effectLst/>
          </c:spPr>
          <c:marker>
            <c:symbol val="none"/>
          </c:marker>
          <c:dLbls>
            <c:dLbl>
              <c:idx val="0"/>
              <c:layout>
                <c:manualLayout>
                  <c:x val="-2.5462668816039986E-17"/>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D4B-7B49-9F16-43B87F493EA7}"/>
                </c:ext>
              </c:extLst>
            </c:dLbl>
            <c:dLbl>
              <c:idx val="4"/>
              <c:layout>
                <c:manualLayout>
                  <c:x val="0"/>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D4B-7B49-9F16-43B87F493EA7}"/>
                </c:ext>
              </c:extLst>
            </c:dLbl>
            <c:dLbl>
              <c:idx val="7"/>
              <c:layout>
                <c:manualLayout>
                  <c:x val="-2.2222222222222324E-2"/>
                  <c:y val="9.72222222222222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D4B-7B49-9F16-43B87F493EA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Hoja1!$A$6:$A$13</c:f>
              <c:strCache>
                <c:ptCount val="8"/>
                <c:pt idx="0">
                  <c:v>Enero </c:v>
                </c:pt>
                <c:pt idx="1">
                  <c:v>Febrero </c:v>
                </c:pt>
                <c:pt idx="2">
                  <c:v>Marzo </c:v>
                </c:pt>
                <c:pt idx="3">
                  <c:v>Abril</c:v>
                </c:pt>
                <c:pt idx="4">
                  <c:v>Mayo</c:v>
                </c:pt>
                <c:pt idx="5">
                  <c:v>Junio</c:v>
                </c:pt>
                <c:pt idx="6">
                  <c:v>Julio</c:v>
                </c:pt>
                <c:pt idx="7">
                  <c:v>Agosto</c:v>
                </c:pt>
              </c:strCache>
            </c:strRef>
          </c:cat>
          <c:val>
            <c:numRef>
              <c:f>Hoja1!$B$6:$B$13</c:f>
              <c:numCache>
                <c:formatCode>0.00%</c:formatCode>
                <c:ptCount val="8"/>
                <c:pt idx="0">
                  <c:v>1.0500000000000001E-2</c:v>
                </c:pt>
                <c:pt idx="1">
                  <c:v>-8.9999999999999998E-4</c:v>
                </c:pt>
                <c:pt idx="2">
                  <c:v>-7.7600000000000002E-2</c:v>
                </c:pt>
                <c:pt idx="3">
                  <c:v>-0.1507</c:v>
                </c:pt>
                <c:pt idx="4">
                  <c:v>5.2699999999999997E-2</c:v>
                </c:pt>
                <c:pt idx="5">
                  <c:v>5.8600000000000006E-2</c:v>
                </c:pt>
                <c:pt idx="6">
                  <c:v>2.2200000000000001E-2</c:v>
                </c:pt>
                <c:pt idx="7">
                  <c:v>-1.1899999999999999E-2</c:v>
                </c:pt>
              </c:numCache>
            </c:numRef>
          </c:val>
          <c:smooth val="0"/>
          <c:extLst>
            <c:ext xmlns:c16="http://schemas.microsoft.com/office/drawing/2014/chart" uri="{C3380CC4-5D6E-409C-BE32-E72D297353CC}">
              <c16:uniqueId val="{00000000-AD4B-7B49-9F16-43B87F493EA7}"/>
            </c:ext>
          </c:extLst>
        </c:ser>
        <c:dLbls>
          <c:showLegendKey val="0"/>
          <c:showVal val="0"/>
          <c:showCatName val="0"/>
          <c:showSerName val="0"/>
          <c:showPercent val="0"/>
          <c:showBubbleSize val="0"/>
        </c:dLbls>
        <c:smooth val="0"/>
        <c:axId val="1291429071"/>
        <c:axId val="1291505647"/>
      </c:lineChart>
      <c:catAx>
        <c:axId val="12914290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Century Gothic" panose="020B0502020202020204" pitchFamily="34" charset="0"/>
                <a:ea typeface="+mn-ea"/>
                <a:cs typeface="+mn-cs"/>
              </a:defRPr>
            </a:pPr>
            <a:endParaRPr lang="es-CO"/>
          </a:p>
        </c:txPr>
        <c:crossAx val="1291505647"/>
        <c:crosses val="autoZero"/>
        <c:auto val="1"/>
        <c:lblAlgn val="ctr"/>
        <c:lblOffset val="100"/>
        <c:noMultiLvlLbl val="0"/>
      </c:catAx>
      <c:valAx>
        <c:axId val="1291505647"/>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Century Gothic" panose="020B0502020202020204" pitchFamily="34" charset="0"/>
                <a:ea typeface="+mn-ea"/>
                <a:cs typeface="+mn-cs"/>
              </a:defRPr>
            </a:pPr>
            <a:endParaRPr lang="es-CO"/>
          </a:p>
        </c:txPr>
        <c:crossAx val="12914290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Hoja1!$B$32</c:f>
              <c:strCache>
                <c:ptCount val="1"/>
                <c:pt idx="0">
                  <c:v>Variación anual agosto                Serie original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Century Gothic" panose="020B050202020202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Hoja1!$A$33:$A$38</c:f>
              <c:strCache>
                <c:ptCount val="6"/>
                <c:pt idx="0">
                  <c:v>Chile</c:v>
                </c:pt>
                <c:pt idx="1">
                  <c:v>Colombia</c:v>
                </c:pt>
                <c:pt idx="2">
                  <c:v>Costa Rica</c:v>
                </c:pt>
                <c:pt idx="3">
                  <c:v>República Dominicana</c:v>
                </c:pt>
                <c:pt idx="4">
                  <c:v>Brasil</c:v>
                </c:pt>
                <c:pt idx="5">
                  <c:v>Paraguay</c:v>
                </c:pt>
              </c:strCache>
            </c:strRef>
          </c:cat>
          <c:val>
            <c:numRef>
              <c:f>Hoja1!$B$33:$B$38</c:f>
              <c:numCache>
                <c:formatCode>0.00%</c:formatCode>
                <c:ptCount val="6"/>
                <c:pt idx="0">
                  <c:v>-0.113</c:v>
                </c:pt>
                <c:pt idx="1">
                  <c:v>-0.106</c:v>
                </c:pt>
                <c:pt idx="2">
                  <c:v>-7.9000000000000001E-2</c:v>
                </c:pt>
                <c:pt idx="3">
                  <c:v>-7.2000000000000008E-2</c:v>
                </c:pt>
                <c:pt idx="4">
                  <c:v>-3.9E-2</c:v>
                </c:pt>
                <c:pt idx="5">
                  <c:v>-2.1000000000000001E-2</c:v>
                </c:pt>
              </c:numCache>
            </c:numRef>
          </c:val>
          <c:extLst>
            <c:ext xmlns:c16="http://schemas.microsoft.com/office/drawing/2014/chart" uri="{C3380CC4-5D6E-409C-BE32-E72D297353CC}">
              <c16:uniqueId val="{00000000-88A3-F54C-8067-BBDE6E5AC431}"/>
            </c:ext>
          </c:extLst>
        </c:ser>
        <c:ser>
          <c:idx val="1"/>
          <c:order val="1"/>
          <c:tx>
            <c:strRef>
              <c:f>Hoja1!$C$32</c:f>
              <c:strCache>
                <c:ptCount val="1"/>
                <c:pt idx="0">
                  <c:v>Variación mensual               Serie ajustada por efecto estacional y calendario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Century Gothic" panose="020B050202020202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Hoja1!$A$33:$A$38</c:f>
              <c:strCache>
                <c:ptCount val="6"/>
                <c:pt idx="0">
                  <c:v>Chile</c:v>
                </c:pt>
                <c:pt idx="1">
                  <c:v>Colombia</c:v>
                </c:pt>
                <c:pt idx="2">
                  <c:v>Costa Rica</c:v>
                </c:pt>
                <c:pt idx="3">
                  <c:v>República Dominicana</c:v>
                </c:pt>
                <c:pt idx="4">
                  <c:v>Brasil</c:v>
                </c:pt>
                <c:pt idx="5">
                  <c:v>Paraguay</c:v>
                </c:pt>
              </c:strCache>
            </c:strRef>
          </c:cat>
          <c:val>
            <c:numRef>
              <c:f>Hoja1!$C$33:$C$38</c:f>
              <c:numCache>
                <c:formatCode>0.00%</c:formatCode>
                <c:ptCount val="6"/>
                <c:pt idx="0">
                  <c:v>2.7999999999999997E-2</c:v>
                </c:pt>
                <c:pt idx="1">
                  <c:v>-1.2E-2</c:v>
                </c:pt>
                <c:pt idx="2">
                  <c:v>1.3999999999999999E-2</c:v>
                </c:pt>
                <c:pt idx="3">
                  <c:v>1.1000000000000001E-2</c:v>
                </c:pt>
                <c:pt idx="4">
                  <c:v>1.1000000000000001E-2</c:v>
                </c:pt>
                <c:pt idx="5">
                  <c:v>-3.5999999999999997E-2</c:v>
                </c:pt>
              </c:numCache>
            </c:numRef>
          </c:val>
          <c:extLst>
            <c:ext xmlns:c16="http://schemas.microsoft.com/office/drawing/2014/chart" uri="{C3380CC4-5D6E-409C-BE32-E72D297353CC}">
              <c16:uniqueId val="{00000001-88A3-F54C-8067-BBDE6E5AC431}"/>
            </c:ext>
          </c:extLst>
        </c:ser>
        <c:dLbls>
          <c:showLegendKey val="0"/>
          <c:showVal val="0"/>
          <c:showCatName val="0"/>
          <c:showSerName val="0"/>
          <c:showPercent val="0"/>
          <c:showBubbleSize val="0"/>
        </c:dLbls>
        <c:gapWidth val="219"/>
        <c:overlap val="-27"/>
        <c:axId val="1291616175"/>
        <c:axId val="1254966351"/>
      </c:barChart>
      <c:catAx>
        <c:axId val="12916161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Century Gothic" panose="020B0502020202020204" pitchFamily="34" charset="0"/>
                <a:ea typeface="+mn-ea"/>
                <a:cs typeface="+mn-cs"/>
              </a:defRPr>
            </a:pPr>
            <a:endParaRPr lang="es-CO"/>
          </a:p>
        </c:txPr>
        <c:crossAx val="1254966351"/>
        <c:crosses val="autoZero"/>
        <c:auto val="1"/>
        <c:lblAlgn val="ctr"/>
        <c:lblOffset val="100"/>
        <c:noMultiLvlLbl val="0"/>
      </c:catAx>
      <c:valAx>
        <c:axId val="1254966351"/>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Century Gothic" panose="020B0502020202020204" pitchFamily="34" charset="0"/>
                <a:ea typeface="+mn-ea"/>
                <a:cs typeface="+mn-cs"/>
              </a:defRPr>
            </a:pPr>
            <a:endParaRPr lang="es-CO"/>
          </a:p>
        </c:txPr>
        <c:crossAx val="12916161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Century Gothic" panose="020B050202020202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ONU17</b:Tag>
    <b:SourceType>DocumentFromInternetSite</b:SourceType>
    <b:Guid>{334A0D46-067D-46A6-A5AA-963C1345776C}</b:Guid>
    <b:Author>
      <b:Author>
        <b:Corporate>ONU Mujeres, UNFPA, PNUD</b:Corporate>
      </b:Author>
    </b:Author>
    <b:Title>Brechas de género y desigualdad: de los Objetivos de Desarrollo del Milenio a los Objetivos de DEsarrollo Sostenible</b:Title>
    <b:Year>2017</b:Year>
    <b:City>Bogotá</b:City>
    <b:CountryRegion>Colombia</b:CountryRegion>
    <b:Month>Semptiembre</b:Month>
    <b:InternetSiteTitle>UNFPA Colombia</b:InternetSiteTitle>
    <b:URL>https://colombia.unfpa.org/sites/default/files/pub-pdf/PDF%20WEB%20BRECHAS%20DE%20GENERO%20Y%20DESIGUALDAD.pdf</b:URL>
    <b:RefOrder>4</b:RefOrder>
  </b:Source>
  <b:Source>
    <b:Tag>Ávi16</b:Tag>
    <b:SourceType>Report</b:SourceType>
    <b:Guid>{22031344-5101-4A04-92C4-CA66BFCDBB55}</b:Guid>
    <b:Title>Diferencias de género en la riqueza, ingresos y rentas de las personas naturales en COlombia</b:Title>
    <b:Year>2016</b:Year>
    <b:Publisher>Dirección General DIAN</b:Publisher>
    <b:City>Bogotá</b:City>
    <b:Author>
      <b:Author>
        <b:NameList>
          <b:Person>
            <b:Last>Ávila Mahecha</b:Last>
            <b:First>Javier</b:First>
          </b:Person>
        </b:NameList>
      </b:Author>
    </b:Author>
    <b:RefOrder>5</b:RefOrder>
  </b:Source>
  <b:Source>
    <b:Tag>DAN18</b:Tag>
    <b:SourceType>Report</b:SourceType>
    <b:Guid>{4B7D0E05-D00B-4E09-8F6D-1C2D6FD0D988}</b:Guid>
    <b:Author>
      <b:Author>
        <b:Corporate>DANE</b:Corporate>
      </b:Author>
    </b:Author>
    <b:Title>Resultados Censo Nacional de Población y Vivienda 2018</b:Title>
    <b:Year>2018</b:Year>
    <b:Publisher>DANE</b:Publisher>
    <b:City>Bogotá</b:City>
    <b:RefOrder>6</b:RefOrder>
  </b:Source>
  <b:Source>
    <b:Tag>Vil97</b:Tag>
    <b:SourceType>Book</b:SourceType>
    <b:Guid>{7EEE6D0C-05E2-4D4E-809A-DD3E11361290}</b:Guid>
    <b:Title>El poder y el valor: fundamentos de una ética política </b:Title>
    <b:Year>1997</b:Year>
    <b:Publisher>Fonde de Cultura Económica</b:Publisher>
    <b:City>CDMX</b:City>
    <b:Author>
      <b:Author>
        <b:NameList>
          <b:Person>
            <b:Last>Villoro</b:Last>
            <b:First>Luis</b:First>
          </b:Person>
        </b:NameList>
      </b:Author>
      <b:BookAuthor>
        <b:NameList>
          <b:Person>
            <b:Last>Villoro</b:Last>
            <b:First>Luis</b:First>
          </b:Person>
        </b:NameList>
      </b:BookAuthor>
    </b:Author>
    <b:RefOrder>7</b:RefOrder>
  </b:Source>
  <b:Source>
    <b:Tag>DAN20</b:Tag>
    <b:SourceType>Report</b:SourceType>
    <b:Guid>{9679367C-79B8-4006-A5F4-7E026189A0E5}</b:Guid>
    <b:Title>Boletín Técnico Mercado Laboral según Sexo Trimestre móvil noviembre 2019 - enero 2020</b:Title>
    <b:Year>2020</b:Year>
    <b:City>Bogotá</b:City>
    <b:Publisher>DANE</b:Publisher>
    <b:Author>
      <b:Author>
        <b:Corporate>DANE</b:Corporate>
      </b:Author>
    </b:Author>
    <b:RefOrder>8</b:RefOrder>
  </b:Source>
  <b:Source>
    <b:Tag>DAN19</b:Tag>
    <b:SourceType>Report</b:SourceType>
    <b:Guid>{9981174B-D27E-48A4-BF9F-B726F3FC8ED8}</b:Guid>
    <b:Author>
      <b:Author>
        <b:Corporate>DANE</b:Corporate>
      </b:Author>
    </b:Author>
    <b:Title>Boletín Estadístico Empoderamiento Económico de las Mujeres en Colombia</b:Title>
    <b:Year>2019</b:Year>
    <b:Publisher>DANE</b:Publisher>
    <b:City>Bogotá</b:City>
    <b:RefOrder>9</b:RefOrder>
  </b:Source>
  <b:Source>
    <b:Tag>Are18</b:Tag>
    <b:SourceType>Report</b:SourceType>
    <b:Guid>{8D9E2C2D-E75C-4B8A-A4FC-20EF41C9D8EE}</b:Guid>
    <b:Title>Política tributaria y sesgos de género: aproximaciones al caso colombiano</b:Title>
    <b:Year>2018</b:Year>
    <b:Publisher>Friedrich Ebert Stiftung</b:Publisher>
    <b:Author>
      <b:Author>
        <b:NameList>
          <b:Person>
            <b:Last>Arenas Saavedra</b:Last>
            <b:Middle>Isabel</b:Middle>
            <b:First>Ana</b:First>
          </b:Person>
        </b:NameList>
      </b:Author>
    </b:Author>
    <b:RefOrder>10</b:RefOrder>
  </b:Source>
  <b:Source>
    <b:Tag>Alm11</b:Tag>
    <b:SourceType>Report</b:SourceType>
    <b:Guid>{8B7D040B-488F-422B-87E9-6EB0A39FD37B}</b:Guid>
    <b:Title>Importancia de la perspectiva de género en los sistemas de estadísticas</b:Title>
    <b:Year>2011</b:Year>
    <b:City>Antigua Guatemala</b:City>
    <b:Publisher>Oficial de Asuntos Sociales, División de Asuntos de Género CEPAL</b:Publisher>
    <b:Author>
      <b:Author>
        <b:NameList>
          <b:Person>
            <b:Last>Alméras</b:Last>
            <b:First>Diane</b:First>
          </b:Person>
        </b:NameList>
      </b:Author>
    </b:Author>
    <b:RefOrder>11</b:RefOrder>
  </b:Source>
  <b:Source>
    <b:Tag>Loo15</b:Tag>
    <b:SourceType>JournalArticle</b:SourceType>
    <b:Guid>{CFCDC5CC-C19F-4B34-BB13-F13C9791D1C4}</b:Guid>
    <b:Title>A crisis in student loans? How changes in the characteristics of borrowers and in the institutions they attended contributed to rising loan defaults</b:Title>
    <b:Year>2015</b:Year>
    <b:JournalName>Brookings</b:JournalName>
    <b:Author>
      <b:Author>
        <b:NameList>
          <b:Person>
            <b:Last>Looney</b:Last>
            <b:First>Adam</b:First>
          </b:Person>
          <b:Person>
            <b:Last>Yannelis</b:Last>
            <b:First>Constantine</b:First>
          </b:Person>
        </b:NameList>
      </b:Author>
    </b:Author>
    <b:URL>https://www.brookings.edu/bpea-articles/a-crisis-in-student-loans-how-changes-in-the-characteristics-of-borrowers-and-in-the-institutions-they-attended-contributed-to-rising-loan-defaults/</b:URL>
    <b:RefOrder>12</b:RefOrder>
  </b:Source>
  <b:Source>
    <b:Tag>Dan18</b:Tag>
    <b:SourceType>JournalArticle</b:SourceType>
    <b:Guid>{EB1CD947-8F1D-7544-8A50-0C227FC60EEF}</b:Guid>
    <b:Title>Productividad y distribución del ingreso: implicaciones sobre el salario mínimo colombiano, 2001-2016</b:Title>
    <b:Year>2018</b:Year>
    <b:Author>
      <b:Author>
        <b:NameList>
          <b:Person>
            <b:Last>Ossa</b:Last>
            <b:First>Daniel</b:First>
          </b:Person>
        </b:NameList>
      </b:Author>
    </b:Author>
    <b:JournalName>Revista de Economía Institucional</b:JournalName>
    <b:Pages>231-255</b:Pages>
    <b:RefOrder>13</b:RefOrder>
  </b:Source>
  <b:Source>
    <b:Tag>OEC11</b:Tag>
    <b:SourceType>Report</b:SourceType>
    <b:Guid>{F9CB8886-04D0-234A-A0E6-D3D6E59A1E22}</b:Guid>
    <b:Title>Measuring productivity: OECD Manual: Measurement of aggregate and industry-level productivity growth</b:Title>
    <b:Year>2011</b:Year>
    <b:Author>
      <b:Author>
        <b:Corporate>OECD</b:Corporate>
      </b:Author>
    </b:Author>
    <b:Publisher>OECD</b:Publisher>
    <b:City>Paris</b:City>
    <b:RefOrder>14</b:RefOrder>
  </b:Source>
  <b:Source>
    <b:Tag>Men18</b:Tag>
    <b:SourceType>JournalArticle</b:SourceType>
    <b:Guid>{AEA55C7D-87D1-445D-A444-0B64287F466D}</b:Guid>
    <b:Title>Dinero, política fiscal y estabilidad: ¿Es necesario el déficit fiscal?</b:Title>
    <b:Year>2018</b:Year>
    <b:Author>
      <b:Author>
        <b:NameList>
          <b:Person>
            <b:Last>Mendoza</b:Last>
            <b:First>Enrique</b:First>
          </b:Person>
        </b:NameList>
      </b:Author>
    </b:Author>
    <b:JournalName>Análisis</b:JournalName>
    <b:Pages>78-103</b:Pages>
    <b:RefOrder>1</b:RefOrder>
  </b:Source>
  <b:Source>
    <b:Tag>Pik14</b:Tag>
    <b:SourceType>Book</b:SourceType>
    <b:Guid>{3989C7CF-78F0-41CA-BF03-DD85A9BFFEE5}</b:Guid>
    <b:Title>El Capital del Siglo XXI</b:Title>
    <b:Year>2014</b:Year>
    <b:City>Ciudad de Mexico</b:City>
    <b:Publisher>Fondo de Cultura Económica</b:Publisher>
    <b:Author>
      <b:Author>
        <b:NameList>
          <b:Person>
            <b:Last>Piketty</b:Last>
            <b:First>Thomas</b:First>
          </b:Person>
        </b:NameList>
      </b:Author>
    </b:Author>
    <b:RefOrder>2</b:RefOrder>
  </b:Source>
  <b:Source>
    <b:Tag>Dan06</b:Tag>
    <b:SourceType>Report</b:SourceType>
    <b:Guid>{146433E6-4A82-4410-AC7A-9597F74B12B1}</b:Guid>
    <b:Title>Ajuste fiscal para la estabilidad y el crecimiento</b:Title>
    <b:Year>2006</b:Year>
    <b:Publisher>FMI</b:Publisher>
    <b:City>Washington</b:City>
    <b:Author>
      <b:Author>
        <b:NameList>
          <b:Person>
            <b:Last>Daniel</b:Last>
            <b:First>James</b:First>
          </b:Person>
          <b:Person>
            <b:Last>Davis</b:Last>
            <b:First>Jeffrey</b:First>
          </b:Person>
          <b:Person>
            <b:Last>Fouad </b:Last>
            <b:First>Manuel</b:First>
          </b:Person>
          <b:Person>
            <b:Last>Van Rijckeghem</b:Last>
            <b:First>Carolina</b:First>
          </b:Person>
        </b:NameList>
      </b:Author>
    </b:Author>
    <b:RefOrder>3</b:RefOrder>
  </b:Source>
  <b:Source>
    <b:Tag>AND18</b:Tag>
    <b:SourceType>InternetSite</b:SourceType>
    <b:Guid>{387E2D3B-CE6F-48E7-BF70-747B967500D0}</b:Guid>
    <b:Author>
      <b:Author>
        <b:Corporate>ANDI</b:Corporate>
      </b:Author>
    </b:Author>
    <b:Title>SECTOR TRANSPORTE TERRESTRE DE PASAJEROS EN COLOMBIA</b:Title>
    <b:Year>2018</b:Year>
    <b:URL>http://www.andi.com.co/Uploads/SECTOR%20TRANSPORTE%20TERRESTRE%20DE%20PASAJEROS%20POR%20CARRETERA%20EN%20COLOMBIA%20VF.pdf </b:URL>
    <b:RefOrder>15</b:RefOrder>
  </b:Source>
  <b:Source>
    <b:Tag>DAN192</b:Tag>
    <b:SourceType>InternetSite</b:SourceType>
    <b:Guid>{41931C3D-4B0B-4694-A632-E6624048D575}</b:Guid>
    <b:Author>
      <b:Author>
        <b:Corporate>DANE</b:Corporate>
      </b:Author>
    </b:Author>
    <b:Title>Cuentas Nacionales - PIB</b:Title>
    <b:Year>2019</b:Year>
    <b:URL>https://www.dane.gov.co/files/investigaciones/boletines/pib/cuentas-nal-anuales/agregados-macroeconomicos-cuentas-nal-anuales-2005-2017p.xlsx</b:URL>
    <b:RefOrder>16</b:RefOrder>
  </b:Source>
  <b:Source>
    <b:Tag>Mun19</b:Tag>
    <b:SourceType>InternetSite</b:SourceType>
    <b:Guid>{6E6AA815-1A98-4963-8369-CE21BBAE84F4}</b:Guid>
    <b:Author>
      <b:Author>
        <b:Corporate>Mundo Noticias</b:Corporate>
      </b:Author>
    </b:Author>
    <b:Title>Por segunda vez, capturan individuo que suplantaba ser trabajador de Acuacar para exigir dinero a usuarios</b:Title>
    <b:Year>2019</b:Year>
    <b:Month>Enero</b:Month>
    <b:Day>26</b:Day>
    <b:URL>https://mundonoticias.com.co/por-segunda-vez-capturan-individuo-que-suplantaba-ser-trabajador-de-acuacar-para-exigir-dinero-a-usuarios/ </b:URL>
    <b:RefOrder>17</b:RefOrder>
  </b:Source>
  <b:Source>
    <b:Tag>Pol19</b:Tag>
    <b:SourceType>InternetSite</b:SourceType>
    <b:Guid>{96FE9E41-9279-4599-BAE6-B159373DE754}</b:Guid>
    <b:Author>
      <b:Author>
        <b:Corporate>Policía Nacional</b:Corporate>
      </b:Author>
    </b:Author>
    <b:Title>MinDefensa - Policía Nacional</b:Title>
    <b:InternetSiteTitle>Estadística delictiva</b:InternetSiteTitle>
    <b:Year>2019</b:Year>
    <b:Month>Junio</b:Month>
    <b:Day>09</b:Day>
    <b:URL>https://www.policia.gov.co/grupo-informaci%C3%B3n-criminalidad/estadistica-delictiva</b:URL>
    <b:RefOrder>18</b:RefOrder>
  </b:Source>
  <b:Source>
    <b:Tag>MarcadorDePosición1</b:Tag>
    <b:SourceType>DocumentFromInternetSite</b:SourceType>
    <b:Guid>{A8C0B32A-5E06-4979-AD9B-764EBADB9E90}</b:Guid>
    <b:Title>Resultados Censo Nacional de Población y Vivienda 2018</b:Title>
    <b:Year>2019</b:Year>
    <b:Author>
      <b:Author>
        <b:Corporate>DANE</b:Corporate>
      </b:Author>
    </b:Author>
    <b:URL>https://www.dane.gov.co/files/censo2018/informacion-tecnica/cnpv-2018-presentacion-3ra-entrega.pdf </b:URL>
    <b:RefOrder>19</b:RefOrder>
  </b:Source>
  <b:Source>
    <b:Tag>MON</b:Tag>
    <b:SourceType>InternetSite</b:SourceType>
    <b:Guid>{B514BC51-088E-428D-A93A-2CF1C1A2C994}</b:Guid>
    <b:Title>PREGUNTAS FRECUENTES : Equipaje y mascotas</b:Title>
    <b:URL>https://www.monbus.es/es/preguntas-frecuentes/categoria/59/equipaje-y-mascotas/</b:URL>
    <b:Author>
      <b:Author>
        <b:Corporate>MONBUS</b:Corporate>
      </b:Author>
    </b:Author>
    <b:RefOrder>20</b:RefOrder>
  </b:Source>
  <b:Source>
    <b:Tag>ALS</b:Tag>
    <b:SourceType>InternetSite</b:SourceType>
    <b:Guid>{30624D12-0759-4F9F-B551-C43DDC8AAD3C}</b:Guid>
    <b:Author>
      <b:Author>
        <b:Corporate>ALSA</b:Corporate>
      </b:Author>
    </b:Author>
    <b:URL>http://ayudaonline.alsa.es/pregunta-cliente/cuanto-equipaje-puedo-llevar/</b:URL>
    <b:RefOrder>21</b:RefOrder>
  </b:Source>
  <b:Source>
    <b:Tag>Ava</b:Tag>
    <b:SourceType>InternetSite</b:SourceType>
    <b:Guid>{C8836FA2-0780-44A0-9E5A-03F54E372759}</b:Guid>
    <b:Author>
      <b:Author>
        <b:Corporate>Avanzabus</b:Corporate>
      </b:Author>
    </b:Author>
    <b:Title>Ayuda Online</b:Title>
    <b:URL>http://ayuda.avanzabus.com/pregunta-usuario/medida-de-equipaje/</b:URL>
    <b:RefOrder>22</b:RefOrder>
  </b:Source>
  <b:Source>
    <b:Tag>Min06</b:Tag>
    <b:SourceType>DocumentFromInternetSite</b:SourceType>
    <b:Guid>{7020653D-26EF-4DEC-BC64-E9DFE2EFEC20}</b:Guid>
    <b:Author>
      <b:Author>
        <b:Corporate>Ministerio de Transporte</b:Corporate>
      </b:Author>
    </b:Author>
    <b:Title>Asunto: Transporte - Expedición tiquete a menores.</b:Title>
    <b:Year>2006</b:Year>
    <b:URL>https://www.google.com/url?sa=t&amp;rct=j&amp;q=&amp;esrc=s&amp;source=web&amp;cd=1&amp;cad=rja&amp;uact=8&amp;ved=2ahUKEwiXuu-xgcDjAhWrrFkKHbnbCmoQFjAAegQIABAC&amp;url=https%3A%2F%2Fwww.mintransporte.gov.co%2Fdescargar.php%3FidFile%3D2797&amp;usg=AOvVaw2sBh29V5X3iYIuske8q9vA</b:URL>
    <b:RefOrder>23</b:RefOrder>
  </b:Source>
  <b:Source>
    <b:Tag>Min18</b:Tag>
    <b:SourceType>InternetSite</b:SourceType>
    <b:Guid>{DAB6A77E-D201-4646-B1DE-1DA58E68DFF8}</b:Guid>
    <b:Author>
      <b:Author>
        <b:Corporate>Ministerio de Transporte</b:Corporate>
      </b:Author>
    </b:Author>
    <b:Title>Transporte en Cifras - Estadisticas 2017.pdf</b:Title>
    <b:Year>2018</b:Year>
    <b:Month>Agosto</b:Month>
    <b:Day>03</b:Day>
    <b:URL>https://www.mintransporte.gov.co/documentos/15/estadisticas/</b:URL>
    <b:RefOrder>24</b:RefOrder>
  </b:Source>
  <b:Source>
    <b:Tag>Sem19</b:Tag>
    <b:SourceType>InternetSite</b:SourceType>
    <b:Guid>{A76AD53B-7884-481A-A370-016CED52163F}</b:Guid>
    <b:Author>
      <b:Author>
        <b:Corporate>Semana</b:Corporate>
      </b:Author>
    </b:Author>
    <b:Title>Ladrones vestidos de Rappi asaltaron un edificio </b:Title>
    <b:Year>2019</b:Year>
    <b:Month>Julio</b:Month>
    <b:Day>03</b:Day>
    <b:URL>https://www.semana.com/nacion/articulo/ladrones-vestidos-de-rappi-asaltaron-un-edificio/604486</b:URL>
    <b:RefOrder>25</b:RefOrder>
  </b:Source>
  <b:Source>
    <b:Tag>Ort12</b:Tag>
    <b:SourceType>Book</b:SourceType>
    <b:Guid>{AB40C830-3A53-4590-B92E-5A51DFBDB0CD}</b:Guid>
    <b:Title>Estrategiaspara promover la accesibilidad, cobertura y calidad en el sistema de transporte público  urbano para la población con discapacidad física: caso Bogotá.</b:Title>
    <b:Year>2012</b:Year>
    <b:Author>
      <b:Author>
        <b:NameList>
          <b:Person>
            <b:Last>Martínez</b:Last>
            <b:First>Diana</b:First>
          </b:Person>
        </b:NameList>
      </b:Author>
      <b:BookAuthor>
        <b:NameList>
          <b:Person>
            <b:Last>Transporte</b:Last>
            <b:First>Trabajo</b:First>
            <b:Middle>final de maestría - Magister en Ingeniería de</b:Middle>
          </b:Person>
        </b:NameList>
      </b:BookAuthor>
    </b:Author>
    <b:Pages>1 - 173</b:Pages>
    <b:City>Bogotá</b:City>
    <b:Publisher>Universidad Nacional de Colombia</b:Publisher>
    <b:RefOrder>26</b:RefOrder>
  </b:Source>
  <b:Source>
    <b:Tag>DAN191</b:Tag>
    <b:SourceType>InternetSite</b:SourceType>
    <b:Guid>{8BDD1736-2AF4-4A2B-B857-163FA7979A54}</b:Guid>
    <b:Title>Índice de costos del transporte intermunicipal de pasajeros (ICTIP)</b:Title>
    <b:Year>2019</b:Year>
    <b:URL>https://www.dane.gov.co/index.php/estadisticas-por-tema/precios-y-costos/indice-de-costos-del-transporte-intermunicipal-de-pasajeros-ictip</b:URL>
    <b:Author>
      <b:Author>
        <b:Corporate>DANE </b:Corporate>
      </b:Author>
    </b:Author>
    <b:RefOrder>27</b:RefOrder>
  </b:Source>
  <b:Source>
    <b:Tag>MarcadorDePosición2</b:Tag>
    <b:SourceType>Report</b:SourceType>
    <b:Guid>{6E720A0F-CCA1-466D-A238-1E43642FC8F7}</b:Guid>
    <b:Author>
      <b:Author>
        <b:Corporate>Ministerio de Educación Nacional</b:Corporate>
      </b:Author>
    </b:Author>
    <b:Title>Informe de educación superior </b:Title>
    <b:Year>2018</b:Year>
    <b:Publisher>Ministerio de Educación Nacional</b:Publisher>
    <b:City>Bogotá</b:City>
    <b:RefOrder>28</b:RefOrder>
  </b:Source>
  <b:Source>
    <b:Tag>Min191</b:Tag>
    <b:SourceType>Report</b:SourceType>
    <b:Guid>{C4EF63CD-D561-4B41-BC46-5E1EA3C5BE9D}</b:Guid>
    <b:Author>
      <b:Author>
        <b:Corporate>Ministerio de Educación Nacional</b:Corporate>
      </b:Author>
    </b:Author>
    <b:Title>Derecho de petición</b:Title>
    <b:Year>2019</b:Year>
    <b:Publisher>Ministerio de Educación Nacional</b:Publisher>
    <b:City>Bogotá</b:City>
    <b:RefOrder>29</b:RefOrder>
  </b:Source>
  <b:Source>
    <b:Tag>Sch61</b:Tag>
    <b:SourceType>JournalArticle</b:SourceType>
    <b:Guid>{C62F4A20-F0F9-4389-B346-887C122A2B7F}</b:Guid>
    <b:Author>
      <b:Author>
        <b:NameList>
          <b:Person>
            <b:Last>Schultz</b:Last>
            <b:First>Theodore</b:First>
          </b:Person>
        </b:NameList>
      </b:Author>
    </b:Author>
    <b:Title>Investment in human capital</b:Title>
    <b:Year>1961</b:Year>
    <b:JournalName>The American Economics Review. </b:JournalName>
    <b:Pages>Vol. 51, No. 1 pp. 1-17</b:Pages>
    <b:RefOrder>30</b:RefOrder>
  </b:Source>
  <b:Source>
    <b:Tag>Pau90</b:Tag>
    <b:SourceType>JournalArticle</b:SourceType>
    <b:Guid>{6DD0123A-1835-4D36-B7ED-8AF2D1FF13AB}</b:Guid>
    <b:Author>
      <b:Author>
        <b:NameList>
          <b:Person>
            <b:Last>Romer</b:Last>
            <b:First>Paul</b:First>
            <b:Middle>M.</b:Middle>
          </b:Person>
        </b:NameList>
      </b:Author>
    </b:Author>
    <b:Title>Endogenous Technological Change </b:Title>
    <b:JournalName>Journal of Political Economy</b:JournalName>
    <b:Year>1990</b:Year>
    <b:Pages>Vol. 98(5), 71-102. </b:Pages>
    <b:RefOrder>31</b:RefOrder>
  </b:Source>
  <b:Source>
    <b:Tag>Ban18</b:Tag>
    <b:SourceType>InternetSite</b:SourceType>
    <b:Guid>{CEB46E1D-2C5B-4059-93C5-FFBF1974EA97}</b:Guid>
    <b:Title>Educación</b:Title>
    <b:Year>2018</b:Year>
    <b:Author>
      <b:Author>
        <b:Corporate>Banco Mundial </b:Corporate>
      </b:Author>
    </b:Author>
    <b:InternetSiteTitle>El GBM es la principal entidad de financiamiento de la educación en el mundo en desarrollo.</b:InternetSiteTitle>
    <b:Month>11</b:Month>
    <b:Day>12</b:Day>
    <b:URL>https://www.bancomundial.org/es/topic/education/overview </b:URL>
    <b:RefOrder>32</b:RefOrder>
  </b:Source>
  <b:Source>
    <b:Tag>Sol56</b:Tag>
    <b:SourceType>JournalArticle</b:SourceType>
    <b:Guid>{1462EBC8-6D42-41F1-B608-5787D41F8490}</b:Guid>
    <b:Title>A Contribution to the Theory of Economic Growth</b:Title>
    <b:Year>1956</b:Year>
    <b:JournalName>The MIT Press</b:JournalName>
    <b:Pages>65-94</b:Pages>
    <b:Author>
      <b:Author>
        <b:NameList>
          <b:Person>
            <b:Last>Solow</b:Last>
            <b:First>Robert</b:First>
          </b:Person>
        </b:NameList>
      </b:Author>
    </b:Author>
    <b:RefOrder>33</b:RefOrder>
  </b:Source>
  <b:Source>
    <b:Tag>Min19</b:Tag>
    <b:SourceType>Report</b:SourceType>
    <b:Guid>{2CB096BA-171A-4B41-A5FE-D561BBF7791A}</b:Guid>
    <b:Title>Derecho de petición</b:Title>
    <b:Year>2019</b:Year>
    <b:Author>
      <b:Author>
        <b:Corporate>Ministerio de Relaciones Exteriores</b:Corporate>
      </b:Author>
    </b:Author>
    <b:Publisher>Ministerio de Relaciones Exteriores</b:Publisher>
    <b:City>Bogotá</b:City>
    <b:RefOrder>34</b:RefOrder>
  </b:Source>
  <b:Source>
    <b:Tag>Smi58</b:Tag>
    <b:SourceType>Book</b:SourceType>
    <b:Guid>{72C6CDFC-7EE3-424C-B339-55162D2178EF}</b:Guid>
    <b:Title>Investigación sobre la naturaleza y causas de la riqueza de las Naciones</b:Title>
    <b:Year>1958</b:Year>
    <b:Publisher>Fondo de Cultura Económica</b:Publisher>
    <b:City>Mexico</b:City>
    <b:Author>
      <b:Author>
        <b:NameList>
          <b:Person>
            <b:Last>Smith</b:Last>
            <b:First>Adam</b:First>
          </b:Person>
        </b:NameList>
      </b:Author>
    </b:Author>
    <b:RefOrder>35</b:RefOrder>
  </b:Source>
  <b:Source>
    <b:Tag>LEY</b:Tag>
    <b:SourceType>Case</b:SourceType>
    <b:Guid>{E535B746-6788-4097-AB2D-9C57687D4DB0}</b:Guid>
    <b:Title>LEY ESTATUTARIA SOBRE ELECCION PARLAMENTARIOS ANDINOS-Trámite legislativo</b:Title>
    <b:CaseNumber>Sentencia C-502/07</b:CaseNumber>
    <b:Court>Corte Constitucional</b:Court>
    <b:RefOrder>36</b:RefOrder>
  </b:Source>
  <b:Source>
    <b:Tag>Con16</b:Tag>
    <b:SourceType>Report</b:SourceType>
    <b:Guid>{D513B083-4F77-6340-B64C-048224FDA1D3}</b:Guid>
    <b:Title>Informe Deuda Pública 2016</b:Title>
    <b:City>Bogotá</b:City>
    <b:Publisher>CGR</b:Publisher>
    <b:Year>2016</b:Year>
    <b:Author>
      <b:Author>
        <b:Corporate>Contraloría de la República</b:Corporate>
      </b:Author>
    </b:Author>
    <b:RefOrder>39</b:RefOrder>
  </b:Source>
</b:Sources>
</file>

<file path=customXml/itemProps1.xml><?xml version="1.0" encoding="utf-8"?>
<ds:datastoreItem xmlns:ds="http://schemas.openxmlformats.org/officeDocument/2006/customXml" ds:itemID="{621D25DA-3AE6-C44B-97D4-AF2301BB1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1906</Words>
  <Characters>10486</Characters>
  <Application>Microsoft Office Word</Application>
  <DocSecurity>0</DocSecurity>
  <Lines>87</Lines>
  <Paragraphs>24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12368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Alix</cp:lastModifiedBy>
  <cp:revision>2</cp:revision>
  <cp:lastPrinted>2019-12-18T14:26:00Z</cp:lastPrinted>
  <dcterms:created xsi:type="dcterms:W3CDTF">2020-10-20T17:55:00Z</dcterms:created>
  <dcterms:modified xsi:type="dcterms:W3CDTF">2020-10-20T17:55:00Z</dcterms:modified>
</cp:coreProperties>
</file>